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01" w:rsidRDefault="006D0551">
      <w:pPr>
        <w:spacing w:after="160" w:line="259" w:lineRule="exact"/>
        <w:rPr>
          <w:rFonts w:ascii="Arial" w:eastAsia="Calibri" w:hAnsi="Arial" w:cs="Calibri"/>
          <w:b/>
          <w:sz w:val="32"/>
          <w:szCs w:val="32"/>
          <w:lang w:val="es-ES"/>
        </w:rPr>
      </w:pPr>
      <w:r w:rsidRPr="00420CA0">
        <w:rPr>
          <w:rFonts w:ascii="Arial" w:eastAsia="Calibri" w:hAnsi="Arial" w:cs="Calibri"/>
          <w:b/>
          <w:sz w:val="32"/>
          <w:szCs w:val="32"/>
          <w:lang w:val="es-ES"/>
        </w:rPr>
        <w:t>Impacto de</w:t>
      </w:r>
      <w:r w:rsidR="00FC091F" w:rsidRPr="00420CA0">
        <w:rPr>
          <w:rFonts w:ascii="Arial" w:eastAsia="Calibri" w:hAnsi="Arial" w:cs="Calibri"/>
          <w:b/>
          <w:sz w:val="32"/>
          <w:szCs w:val="32"/>
          <w:lang w:val="es-ES"/>
        </w:rPr>
        <w:t>l</w:t>
      </w:r>
      <w:r w:rsidRPr="00420CA0">
        <w:rPr>
          <w:rFonts w:ascii="Arial" w:eastAsia="Calibri" w:hAnsi="Arial" w:cs="Calibri"/>
          <w:b/>
          <w:sz w:val="32"/>
          <w:szCs w:val="32"/>
          <w:lang w:val="es-ES"/>
        </w:rPr>
        <w:t xml:space="preserve"> </w:t>
      </w:r>
      <w:r w:rsidR="00FC091F" w:rsidRPr="00420CA0">
        <w:rPr>
          <w:rFonts w:ascii="Arial" w:eastAsia="Calibri" w:hAnsi="Arial" w:cs="Calibri"/>
          <w:b/>
          <w:sz w:val="32"/>
          <w:szCs w:val="32"/>
          <w:lang w:val="es-ES"/>
        </w:rPr>
        <w:t>COVID-19 en niños y jóvenes</w:t>
      </w:r>
      <w:r w:rsidRPr="00420CA0">
        <w:rPr>
          <w:rFonts w:ascii="Arial" w:eastAsia="Calibri" w:hAnsi="Arial" w:cs="Calibri"/>
          <w:b/>
          <w:sz w:val="32"/>
          <w:szCs w:val="32"/>
          <w:lang w:val="es-ES"/>
        </w:rPr>
        <w:t>. ¿Qué sabemos hasta ahora?</w:t>
      </w:r>
    </w:p>
    <w:p w:rsidR="00420CA0" w:rsidRPr="00420CA0" w:rsidRDefault="00420CA0">
      <w:pPr>
        <w:spacing w:after="160" w:line="259" w:lineRule="exact"/>
        <w:rPr>
          <w:rFonts w:ascii="Arial" w:eastAsia="Calibri" w:hAnsi="Arial" w:cs="Calibri"/>
          <w:i/>
          <w:sz w:val="28"/>
          <w:szCs w:val="28"/>
          <w:lang w:val="es-ES"/>
        </w:rPr>
      </w:pPr>
      <w:r>
        <w:rPr>
          <w:rFonts w:ascii="Arial" w:eastAsia="Calibri" w:hAnsi="Arial" w:cs="Calibri"/>
          <w:i/>
          <w:sz w:val="28"/>
          <w:szCs w:val="28"/>
          <w:lang w:val="es-ES"/>
        </w:rPr>
        <w:t xml:space="preserve">Sección de </w:t>
      </w:r>
      <w:proofErr w:type="spellStart"/>
      <w:r>
        <w:rPr>
          <w:rFonts w:ascii="Arial" w:eastAsia="Calibri" w:hAnsi="Arial" w:cs="Calibri"/>
          <w:i/>
          <w:sz w:val="28"/>
          <w:szCs w:val="28"/>
          <w:lang w:val="es-ES"/>
        </w:rPr>
        <w:t>Neumo</w:t>
      </w:r>
      <w:r w:rsidRPr="00420CA0">
        <w:rPr>
          <w:rFonts w:ascii="Arial" w:eastAsia="Calibri" w:hAnsi="Arial" w:cs="Calibri"/>
          <w:i/>
          <w:sz w:val="28"/>
          <w:szCs w:val="28"/>
          <w:lang w:val="es-ES"/>
        </w:rPr>
        <w:t>nología</w:t>
      </w:r>
      <w:proofErr w:type="spellEnd"/>
      <w:r w:rsidRPr="00420CA0">
        <w:rPr>
          <w:rFonts w:ascii="Arial" w:eastAsia="Calibri" w:hAnsi="Arial" w:cs="Calibri"/>
          <w:i/>
          <w:sz w:val="28"/>
          <w:szCs w:val="28"/>
          <w:lang w:val="es-ES"/>
        </w:rPr>
        <w:t xml:space="preserve"> Pediátrica</w:t>
      </w:r>
      <w:r>
        <w:rPr>
          <w:rFonts w:ascii="Arial" w:eastAsia="Calibri" w:hAnsi="Arial" w:cs="Calibri"/>
          <w:i/>
          <w:sz w:val="28"/>
          <w:szCs w:val="28"/>
          <w:lang w:val="es-ES"/>
        </w:rPr>
        <w:t>. AAMR</w:t>
      </w:r>
      <w:r w:rsidR="008C0DFA">
        <w:rPr>
          <w:rFonts w:ascii="Arial" w:eastAsia="Calibri" w:hAnsi="Arial" w:cs="Calibri"/>
          <w:i/>
          <w:sz w:val="28"/>
          <w:szCs w:val="28"/>
          <w:lang w:val="es-ES"/>
        </w:rPr>
        <w:t>- SAP</w:t>
      </w:r>
    </w:p>
    <w:p w:rsidR="00FC091F" w:rsidRDefault="00FC091F">
      <w:pPr>
        <w:spacing w:after="160" w:line="259" w:lineRule="exact"/>
        <w:rPr>
          <w:rFonts w:ascii="Arial" w:eastAsia="Calibri" w:hAnsi="Arial" w:cs="Calibri"/>
          <w:szCs w:val="22"/>
          <w:lang w:val="es-ES"/>
        </w:rPr>
      </w:pPr>
      <w:r>
        <w:rPr>
          <w:rFonts w:ascii="Arial" w:eastAsia="Calibri" w:hAnsi="Arial" w:cs="Calibri"/>
          <w:szCs w:val="22"/>
          <w:lang w:val="es-ES"/>
        </w:rPr>
        <w:t>Autor</w:t>
      </w:r>
      <w:r w:rsidR="006D0551" w:rsidRPr="0069371B">
        <w:rPr>
          <w:rFonts w:ascii="Arial" w:eastAsia="Calibri" w:hAnsi="Arial" w:cs="Calibri"/>
          <w:szCs w:val="22"/>
          <w:lang w:val="es-ES"/>
        </w:rPr>
        <w:t xml:space="preserve">: Laura </w:t>
      </w:r>
      <w:proofErr w:type="spellStart"/>
      <w:r w:rsidR="006D0551" w:rsidRPr="0069371B">
        <w:rPr>
          <w:rFonts w:ascii="Arial" w:eastAsia="Calibri" w:hAnsi="Arial" w:cs="Calibri"/>
          <w:szCs w:val="22"/>
          <w:lang w:val="es-ES"/>
        </w:rPr>
        <w:t>Lagrutta</w:t>
      </w:r>
      <w:proofErr w:type="spellEnd"/>
      <w:r w:rsidR="006D0551" w:rsidRPr="0069371B">
        <w:rPr>
          <w:rStyle w:val="Refdenotaalpie"/>
          <w:rFonts w:ascii="Arial" w:eastAsia="Calibri" w:hAnsi="Arial" w:cs="Calibri"/>
          <w:szCs w:val="22"/>
          <w:lang w:val="es-ES"/>
        </w:rPr>
        <w:footnoteReference w:id="1"/>
      </w:r>
      <w:r w:rsidR="006D0551" w:rsidRPr="0069371B">
        <w:rPr>
          <w:rFonts w:ascii="Arial" w:eastAsia="Calibri" w:hAnsi="Arial" w:cs="Calibri"/>
          <w:szCs w:val="22"/>
          <w:lang w:val="es-ES"/>
        </w:rPr>
        <w:t xml:space="preserve">, </w:t>
      </w:r>
    </w:p>
    <w:p w:rsidR="00A07D5E" w:rsidRDefault="00FC091F">
      <w:pPr>
        <w:spacing w:after="160" w:line="259" w:lineRule="exact"/>
        <w:rPr>
          <w:rFonts w:ascii="Arial" w:eastAsia="Calibri" w:hAnsi="Arial" w:cs="Calibri"/>
          <w:szCs w:val="22"/>
          <w:lang w:val="es-ES"/>
        </w:rPr>
      </w:pPr>
      <w:r>
        <w:rPr>
          <w:rFonts w:ascii="Arial" w:eastAsia="Calibri" w:hAnsi="Arial" w:cs="Calibri"/>
          <w:szCs w:val="22"/>
          <w:lang w:val="es-ES"/>
        </w:rPr>
        <w:t xml:space="preserve">Colaboradores: </w:t>
      </w:r>
      <w:r w:rsidR="006D0551" w:rsidRPr="0069371B">
        <w:rPr>
          <w:rFonts w:ascii="Arial" w:eastAsia="Calibri" w:hAnsi="Arial" w:cs="Calibri"/>
          <w:szCs w:val="22"/>
          <w:lang w:val="es-ES"/>
        </w:rPr>
        <w:t>Gisela Martinchuk</w:t>
      </w:r>
      <w:r w:rsidR="006D0551" w:rsidRPr="0069371B">
        <w:rPr>
          <w:rStyle w:val="Refdenotaalpie"/>
          <w:rFonts w:ascii="Arial" w:eastAsia="Calibri" w:hAnsi="Arial" w:cs="Calibri"/>
          <w:szCs w:val="22"/>
          <w:lang w:val="es-ES"/>
        </w:rPr>
        <w:footnoteReference w:id="2"/>
      </w:r>
      <w:r w:rsidR="0069371B">
        <w:rPr>
          <w:rFonts w:ascii="Arial" w:eastAsia="Calibri" w:hAnsi="Arial" w:cs="Calibri"/>
          <w:szCs w:val="22"/>
          <w:lang w:val="es-ES"/>
        </w:rPr>
        <w:t>,</w:t>
      </w:r>
      <w:r w:rsidR="006D0551" w:rsidRPr="0069371B">
        <w:rPr>
          <w:rFonts w:ascii="Arial" w:eastAsia="Calibri" w:hAnsi="Arial" w:cs="Calibri"/>
          <w:szCs w:val="22"/>
          <w:lang w:val="es-ES"/>
        </w:rPr>
        <w:t xml:space="preserve"> Silvina </w:t>
      </w:r>
      <w:proofErr w:type="spellStart"/>
      <w:r w:rsidR="006D0551" w:rsidRPr="0069371B">
        <w:rPr>
          <w:rFonts w:ascii="Arial" w:eastAsia="Calibri" w:hAnsi="Arial" w:cs="Calibri"/>
          <w:szCs w:val="22"/>
          <w:lang w:val="es-ES"/>
        </w:rPr>
        <w:t>Cipriani</w:t>
      </w:r>
      <w:proofErr w:type="spellEnd"/>
      <w:r w:rsidR="006D0551" w:rsidRPr="0069371B">
        <w:rPr>
          <w:rStyle w:val="Refdenotaalpie"/>
          <w:rFonts w:ascii="Arial" w:eastAsia="Calibri" w:hAnsi="Arial" w:cs="Calibri"/>
          <w:szCs w:val="22"/>
          <w:lang w:val="es-ES"/>
        </w:rPr>
        <w:footnoteReference w:id="3"/>
      </w:r>
      <w:r w:rsidR="0069371B">
        <w:rPr>
          <w:rFonts w:ascii="Arial" w:eastAsia="Calibri" w:hAnsi="Arial" w:cs="Calibri"/>
          <w:szCs w:val="22"/>
          <w:lang w:val="es-ES"/>
        </w:rPr>
        <w:t>,</w:t>
      </w:r>
      <w:r w:rsidR="0069371B" w:rsidRPr="0069371B">
        <w:rPr>
          <w:rFonts w:ascii="Arial" w:eastAsia="Calibri" w:hAnsi="Arial" w:cs="Calibri"/>
          <w:szCs w:val="22"/>
          <w:lang w:val="es-ES"/>
        </w:rPr>
        <w:t xml:space="preserve"> Silvina </w:t>
      </w:r>
      <w:proofErr w:type="gramStart"/>
      <w:r w:rsidR="0069371B" w:rsidRPr="0069371B">
        <w:rPr>
          <w:rFonts w:ascii="Arial" w:eastAsia="Calibri" w:hAnsi="Arial" w:cs="Calibri"/>
          <w:szCs w:val="22"/>
          <w:lang w:val="es-ES"/>
        </w:rPr>
        <w:t>Smith</w:t>
      </w:r>
      <w:r w:rsidR="0069371B" w:rsidRPr="0069371B">
        <w:rPr>
          <w:rStyle w:val="Refdenotaalpie"/>
          <w:rFonts w:ascii="Arial" w:eastAsia="Calibri" w:hAnsi="Arial" w:cs="Calibri"/>
          <w:szCs w:val="22"/>
          <w:lang w:val="es-ES"/>
        </w:rPr>
        <w:footnoteReference w:id="4"/>
      </w:r>
      <w:r w:rsidR="0069371B" w:rsidRPr="0069371B">
        <w:rPr>
          <w:rFonts w:ascii="Arial" w:eastAsia="Calibri" w:hAnsi="Arial" w:cs="Calibri"/>
          <w:szCs w:val="22"/>
          <w:lang w:val="es-ES"/>
        </w:rPr>
        <w:t xml:space="preserve"> </w:t>
      </w:r>
      <w:r w:rsidR="0069371B">
        <w:rPr>
          <w:rFonts w:ascii="Arial" w:eastAsia="Calibri" w:hAnsi="Arial" w:cs="Calibri"/>
          <w:szCs w:val="22"/>
          <w:lang w:val="es-ES"/>
        </w:rPr>
        <w:t>,</w:t>
      </w:r>
      <w:r w:rsidR="0069371B" w:rsidRPr="0069371B">
        <w:rPr>
          <w:rFonts w:ascii="Arial" w:eastAsia="Calibri" w:hAnsi="Arial" w:cs="Calibri"/>
          <w:szCs w:val="22"/>
          <w:lang w:val="es-ES"/>
        </w:rPr>
        <w:t>Hilda</w:t>
      </w:r>
      <w:proofErr w:type="gramEnd"/>
      <w:r w:rsidR="0069371B" w:rsidRPr="0069371B">
        <w:rPr>
          <w:rFonts w:ascii="Arial" w:eastAsia="Calibri" w:hAnsi="Arial" w:cs="Calibri"/>
          <w:szCs w:val="22"/>
          <w:lang w:val="es-ES"/>
        </w:rPr>
        <w:t xml:space="preserve"> </w:t>
      </w:r>
      <w:proofErr w:type="spellStart"/>
      <w:r w:rsidR="0069371B" w:rsidRPr="0069371B">
        <w:rPr>
          <w:rFonts w:ascii="Arial" w:eastAsia="Calibri" w:hAnsi="Arial" w:cs="Calibri"/>
          <w:szCs w:val="22"/>
          <w:lang w:val="es-ES"/>
        </w:rPr>
        <w:t>Giugno</w:t>
      </w:r>
      <w:proofErr w:type="spellEnd"/>
      <w:r w:rsidR="0069371B" w:rsidRPr="0069371B">
        <w:rPr>
          <w:rStyle w:val="Refdenotaalpie"/>
          <w:rFonts w:ascii="Arial" w:eastAsia="Calibri" w:hAnsi="Arial" w:cs="Calibri"/>
          <w:szCs w:val="22"/>
          <w:lang w:val="es-ES"/>
        </w:rPr>
        <w:footnoteReference w:id="5"/>
      </w:r>
      <w:r>
        <w:rPr>
          <w:rFonts w:ascii="Arial" w:eastAsia="Calibri" w:hAnsi="Arial" w:cs="Calibri"/>
          <w:szCs w:val="22"/>
          <w:lang w:val="es-ES"/>
        </w:rPr>
        <w:t xml:space="preserve"> </w:t>
      </w:r>
    </w:p>
    <w:p w:rsidR="00FC091F" w:rsidRDefault="00FC091F">
      <w:pPr>
        <w:spacing w:after="160" w:line="259" w:lineRule="exact"/>
        <w:rPr>
          <w:rFonts w:ascii="Arial" w:eastAsia="Calibri" w:hAnsi="Arial" w:cs="Calibri"/>
          <w:szCs w:val="22"/>
          <w:lang w:val="es-ES"/>
        </w:rPr>
      </w:pPr>
    </w:p>
    <w:p w:rsidR="001E0601" w:rsidRDefault="00567E09">
      <w:pPr>
        <w:spacing w:after="160" w:line="259" w:lineRule="exact"/>
      </w:pPr>
      <w:r>
        <w:rPr>
          <w:rFonts w:ascii="Arial" w:eastAsia="Arial" w:hAnsi="Arial"/>
          <w:sz w:val="24"/>
          <w:lang w:val="es-ES"/>
        </w:rPr>
        <w:t>Desde los primeros datos epidemiológicos publicados en China, los niños se vieron significativamente menos afectados por la infección con el SARS-CoV-2 que los adultos.</w:t>
      </w:r>
      <w:r>
        <w:rPr>
          <w:rFonts w:ascii="Arial" w:eastAsia="Arial" w:hAnsi="Arial"/>
          <w:sz w:val="24"/>
          <w:vertAlign w:val="superscript"/>
          <w:lang w:val="es-ES"/>
        </w:rPr>
        <w:t>1</w:t>
      </w:r>
      <w:r>
        <w:rPr>
          <w:rFonts w:ascii="Arial" w:eastAsia="Arial" w:hAnsi="Arial"/>
          <w:sz w:val="24"/>
          <w:lang w:val="es-ES"/>
        </w:rPr>
        <w:t xml:space="preserve">  </w:t>
      </w:r>
      <w:proofErr w:type="spellStart"/>
      <w:r>
        <w:rPr>
          <w:rFonts w:ascii="Arial" w:eastAsia="Arial" w:hAnsi="Arial"/>
          <w:sz w:val="24"/>
          <w:lang w:val="es-ES"/>
        </w:rPr>
        <w:t>Ésto</w:t>
      </w:r>
      <w:proofErr w:type="spellEnd"/>
      <w:r>
        <w:rPr>
          <w:rFonts w:ascii="Arial" w:eastAsia="Arial" w:hAnsi="Arial"/>
          <w:sz w:val="24"/>
          <w:lang w:val="es-ES"/>
        </w:rPr>
        <w:t xml:space="preserve"> se reflejó tanto en el número total de casos como en la gravedad, con muy pocos casos en niños pequeños y sin muertes en niños menores de 10 años en el informe inicial de pacientes pediátricos en China </w:t>
      </w:r>
      <w:r>
        <w:rPr>
          <w:rFonts w:ascii="Arial" w:eastAsia="Arial" w:hAnsi="Arial"/>
          <w:sz w:val="24"/>
          <w:vertAlign w:val="superscript"/>
          <w:lang w:val="es-ES"/>
        </w:rPr>
        <w:t>2</w:t>
      </w:r>
      <w:r>
        <w:rPr>
          <w:rFonts w:ascii="Arial" w:eastAsia="Arial" w:hAnsi="Arial"/>
          <w:sz w:val="24"/>
          <w:lang w:val="es-ES"/>
        </w:rPr>
        <w:t xml:space="preserve">. Estos hallazgos se han reproducido  posteriormente en otros países. </w:t>
      </w:r>
    </w:p>
    <w:p w:rsidR="0065275F" w:rsidRPr="00A97ABB" w:rsidRDefault="0069371B">
      <w:pPr>
        <w:spacing w:after="160" w:line="259" w:lineRule="exact"/>
        <w:rPr>
          <w:rFonts w:ascii="Arial" w:eastAsia="Arial" w:hAnsi="Arial"/>
          <w:sz w:val="24"/>
          <w:lang w:val="es-ES"/>
        </w:rPr>
      </w:pPr>
      <w:r>
        <w:rPr>
          <w:rFonts w:ascii="Arial" w:eastAsia="Arial" w:hAnsi="Arial"/>
          <w:sz w:val="24"/>
          <w:lang w:val="es-ES"/>
        </w:rPr>
        <w:t>Aún tenemos pocos</w:t>
      </w:r>
      <w:r w:rsidR="00567E09">
        <w:rPr>
          <w:rFonts w:ascii="Arial" w:eastAsia="Arial" w:hAnsi="Arial"/>
          <w:sz w:val="24"/>
          <w:lang w:val="es-ES"/>
        </w:rPr>
        <w:t xml:space="preserve"> datos de la población infantil en América Latina</w:t>
      </w:r>
      <w:r w:rsidR="00567E09" w:rsidRPr="00D53E0E">
        <w:rPr>
          <w:rFonts w:ascii="Arial" w:eastAsia="Arial" w:hAnsi="Arial"/>
          <w:color w:val="70AD47" w:themeColor="accent6"/>
          <w:sz w:val="24"/>
          <w:lang w:val="es-ES"/>
        </w:rPr>
        <w:t xml:space="preserve"> </w:t>
      </w:r>
      <w:r w:rsidR="00567E09">
        <w:rPr>
          <w:rFonts w:ascii="Arial" w:eastAsia="Arial" w:hAnsi="Arial"/>
          <w:sz w:val="24"/>
          <w:lang w:val="es-ES"/>
        </w:rPr>
        <w:t xml:space="preserve"> En Argentina,</w:t>
      </w:r>
      <w:r w:rsidR="00567E09">
        <w:rPr>
          <w:rFonts w:ascii="Arial" w:eastAsia="Arial" w:hAnsi="Arial"/>
          <w:sz w:val="24"/>
          <w:vertAlign w:val="superscript"/>
          <w:lang w:val="es-ES"/>
        </w:rPr>
        <w:t>3</w:t>
      </w:r>
      <w:r w:rsidR="00A97ABB">
        <w:rPr>
          <w:rFonts w:ascii="Arial" w:eastAsia="Arial" w:hAnsi="Arial"/>
          <w:sz w:val="24"/>
          <w:lang w:val="es-ES"/>
        </w:rPr>
        <w:t xml:space="preserve"> la</w:t>
      </w:r>
      <w:r w:rsidR="00567E09" w:rsidRPr="00D53E0E">
        <w:rPr>
          <w:rFonts w:ascii="Arial" w:eastAsia="Arial" w:hAnsi="Arial"/>
          <w:sz w:val="24"/>
          <w:lang w:val="es-ES"/>
        </w:rPr>
        <w:t xml:space="preserve"> </w:t>
      </w:r>
      <w:r>
        <w:rPr>
          <w:rFonts w:ascii="Arial" w:eastAsia="Arial" w:hAnsi="Arial"/>
          <w:sz w:val="24"/>
          <w:lang w:val="es-ES"/>
        </w:rPr>
        <w:t xml:space="preserve">actualización epidemiológica al </w:t>
      </w:r>
      <w:r w:rsidR="00A97ABB">
        <w:rPr>
          <w:rFonts w:ascii="Arial" w:eastAsia="Arial" w:hAnsi="Arial"/>
          <w:sz w:val="24"/>
          <w:lang w:val="es-ES"/>
        </w:rPr>
        <w:t>30 de abril</w:t>
      </w:r>
      <w:r w:rsidR="00567E09">
        <w:rPr>
          <w:rFonts w:ascii="Arial" w:eastAsia="Arial" w:hAnsi="Arial"/>
          <w:sz w:val="24"/>
          <w:lang w:val="es-ES"/>
        </w:rPr>
        <w:t xml:space="preserve"> reveló que en menores de 15 años se confirmaron 152 casos con una mediana de edad  de 6 años (rango IC 2-10) y una distribución equitativa por sexos. En cuanto a la presentación clínica el 75% de los casos presentaron síntomas leves y 22,1% moderados. Hasta ese momento sólo tres pacientes habían reportado síntomas considerados graves y no se habían registrado </w:t>
      </w:r>
      <w:r w:rsidR="00567E09" w:rsidRPr="002F22AE">
        <w:rPr>
          <w:rFonts w:ascii="Arial" w:eastAsia="Arial" w:hAnsi="Arial"/>
          <w:color w:val="000000" w:themeColor="text1"/>
          <w:sz w:val="24"/>
          <w:lang w:val="es-ES"/>
        </w:rPr>
        <w:t xml:space="preserve">pacientes con requerimientos de ARM o fallecidos. </w:t>
      </w:r>
      <w:r w:rsidR="002F22AE" w:rsidRPr="002F22AE">
        <w:rPr>
          <w:rFonts w:ascii="Arial" w:eastAsia="Arial" w:hAnsi="Arial"/>
          <w:color w:val="000000" w:themeColor="text1"/>
          <w:sz w:val="24"/>
          <w:lang w:val="es-ES"/>
        </w:rPr>
        <w:t>.</w:t>
      </w:r>
      <w:r w:rsidR="002F22AE">
        <w:rPr>
          <w:rFonts w:ascii="Arial" w:eastAsia="Arial" w:hAnsi="Arial"/>
          <w:color w:val="000000" w:themeColor="text1"/>
          <w:sz w:val="24"/>
          <w:lang w:val="es-ES"/>
        </w:rPr>
        <w:t>Si bien estos números se modificaron</w:t>
      </w:r>
      <w:r w:rsidR="00567E09" w:rsidRPr="002F22AE">
        <w:rPr>
          <w:rFonts w:ascii="Arial" w:eastAsia="Arial" w:hAnsi="Arial"/>
          <w:color w:val="000000" w:themeColor="text1"/>
          <w:sz w:val="24"/>
          <w:lang w:val="es-ES"/>
        </w:rPr>
        <w:t xml:space="preserve"> con el aumento de los contagios, se mantienen muy alejados de los valores observados en adultos</w:t>
      </w:r>
      <w:r w:rsidR="00567E09" w:rsidRPr="00A97ABB">
        <w:rPr>
          <w:rFonts w:ascii="Arial" w:eastAsia="Arial" w:hAnsi="Arial"/>
          <w:sz w:val="24"/>
          <w:lang w:val="es-ES"/>
        </w:rPr>
        <w:t>.</w:t>
      </w:r>
      <w:r w:rsidR="002F22AE" w:rsidRPr="00A97ABB">
        <w:rPr>
          <w:rFonts w:ascii="Arial" w:eastAsia="Arial" w:hAnsi="Arial"/>
          <w:sz w:val="24"/>
          <w:lang w:val="es-ES"/>
        </w:rPr>
        <w:t xml:space="preserve"> Y así se describen </w:t>
      </w:r>
      <w:r w:rsidR="00D53E0E" w:rsidRPr="00A97ABB">
        <w:rPr>
          <w:rFonts w:ascii="Arial" w:eastAsia="Arial" w:hAnsi="Arial"/>
          <w:sz w:val="24"/>
          <w:lang w:val="es-ES"/>
        </w:rPr>
        <w:t xml:space="preserve">significativos aumentos </w:t>
      </w:r>
      <w:r w:rsidR="002F22AE" w:rsidRPr="00A97ABB">
        <w:rPr>
          <w:rFonts w:ascii="Arial" w:eastAsia="Arial" w:hAnsi="Arial"/>
          <w:sz w:val="24"/>
          <w:lang w:val="es-ES"/>
        </w:rPr>
        <w:t>en estas recientes</w:t>
      </w:r>
      <w:r w:rsidR="00D53E0E" w:rsidRPr="00A97ABB">
        <w:rPr>
          <w:rFonts w:ascii="Arial" w:eastAsia="Arial" w:hAnsi="Arial"/>
          <w:sz w:val="24"/>
          <w:lang w:val="es-ES"/>
        </w:rPr>
        <w:t xml:space="preserve"> 5 semanas, según última actualización (31 de mayo2020)</w:t>
      </w:r>
      <w:r w:rsidR="00A97ABB" w:rsidRPr="00A97ABB">
        <w:rPr>
          <w:rFonts w:ascii="Arial" w:eastAsia="Arial" w:hAnsi="Arial"/>
          <w:sz w:val="24"/>
          <w:lang w:val="es-ES"/>
        </w:rPr>
        <w:t xml:space="preserve"> </w:t>
      </w:r>
      <w:r w:rsidR="00A97ABB" w:rsidRPr="00A97ABB">
        <w:rPr>
          <w:rFonts w:ascii="Arial" w:eastAsia="Arial" w:hAnsi="Arial"/>
          <w:sz w:val="24"/>
          <w:vertAlign w:val="superscript"/>
          <w:lang w:val="es-ES"/>
        </w:rPr>
        <w:t>36</w:t>
      </w:r>
      <w:r w:rsidR="00D53E0E" w:rsidRPr="00A97ABB">
        <w:rPr>
          <w:rFonts w:ascii="Arial" w:eastAsia="Arial" w:hAnsi="Arial"/>
          <w:sz w:val="24"/>
          <w:lang w:val="es-ES"/>
        </w:rPr>
        <w:t xml:space="preserve">, del total de </w:t>
      </w:r>
      <w:r w:rsidR="00A440FD" w:rsidRPr="00A97ABB">
        <w:rPr>
          <w:rFonts w:ascii="Arial" w:eastAsia="Arial" w:hAnsi="Arial"/>
          <w:sz w:val="24"/>
          <w:lang w:val="es-ES"/>
        </w:rPr>
        <w:t xml:space="preserve">20.017 </w:t>
      </w:r>
      <w:r w:rsidR="00A97ABB" w:rsidRPr="00A97ABB">
        <w:rPr>
          <w:rFonts w:ascii="Arial" w:eastAsia="Arial" w:hAnsi="Arial"/>
          <w:sz w:val="24"/>
          <w:lang w:val="es-ES"/>
        </w:rPr>
        <w:t xml:space="preserve">sospechosos notificados de </w:t>
      </w:r>
      <w:proofErr w:type="spellStart"/>
      <w:r w:rsidR="00A97ABB" w:rsidRPr="00A97ABB">
        <w:rPr>
          <w:rFonts w:ascii="Arial" w:eastAsia="Arial" w:hAnsi="Arial"/>
          <w:sz w:val="24"/>
          <w:lang w:val="es-ES"/>
        </w:rPr>
        <w:t>C</w:t>
      </w:r>
      <w:r w:rsidR="00D53E0E" w:rsidRPr="00A97ABB">
        <w:rPr>
          <w:rFonts w:ascii="Arial" w:eastAsia="Arial" w:hAnsi="Arial"/>
          <w:sz w:val="24"/>
          <w:lang w:val="es-ES"/>
        </w:rPr>
        <w:t>ovid</w:t>
      </w:r>
      <w:proofErr w:type="spellEnd"/>
      <w:r w:rsidR="00D53E0E" w:rsidRPr="00A97ABB">
        <w:rPr>
          <w:rFonts w:ascii="Arial" w:eastAsia="Arial" w:hAnsi="Arial"/>
          <w:sz w:val="24"/>
          <w:lang w:val="es-ES"/>
        </w:rPr>
        <w:t xml:space="preserve"> 19 en menores de </w:t>
      </w:r>
      <w:r w:rsidR="00D53E0E" w:rsidRPr="0069371B">
        <w:rPr>
          <w:rFonts w:ascii="Arial" w:eastAsia="Arial" w:hAnsi="Arial"/>
          <w:sz w:val="24"/>
          <w:lang w:val="es-ES"/>
        </w:rPr>
        <w:t>18años</w:t>
      </w:r>
      <w:r w:rsidR="00A440FD" w:rsidRPr="00A97ABB">
        <w:rPr>
          <w:rFonts w:ascii="Arial" w:eastAsia="Arial" w:hAnsi="Arial"/>
          <w:sz w:val="24"/>
          <w:lang w:val="es-ES"/>
        </w:rPr>
        <w:t xml:space="preserve">, </w:t>
      </w:r>
      <w:r w:rsidR="00D53E0E" w:rsidRPr="00A97ABB">
        <w:rPr>
          <w:rFonts w:ascii="Arial" w:eastAsia="Arial" w:hAnsi="Arial"/>
          <w:sz w:val="24"/>
          <w:lang w:val="es-ES"/>
        </w:rPr>
        <w:t>se confirmaron 2095 casos</w:t>
      </w:r>
      <w:r w:rsidR="005B48CE" w:rsidRPr="00A97ABB">
        <w:rPr>
          <w:rFonts w:ascii="Arial" w:eastAsia="Arial" w:hAnsi="Arial"/>
          <w:sz w:val="24"/>
          <w:lang w:val="es-ES"/>
        </w:rPr>
        <w:t xml:space="preserve"> (</w:t>
      </w:r>
      <w:r w:rsidR="00D53E0E" w:rsidRPr="00A97ABB">
        <w:rPr>
          <w:rFonts w:ascii="Arial" w:eastAsia="Arial" w:hAnsi="Arial"/>
          <w:sz w:val="24"/>
          <w:lang w:val="es-ES"/>
        </w:rPr>
        <w:t>12,4%), c</w:t>
      </w:r>
      <w:r w:rsidR="00A97ABB">
        <w:rPr>
          <w:rFonts w:ascii="Arial" w:eastAsia="Arial" w:hAnsi="Arial"/>
          <w:sz w:val="24"/>
          <w:lang w:val="es-ES"/>
        </w:rPr>
        <w:t>uya mediana de edad de 8 años (</w:t>
      </w:r>
      <w:r w:rsidR="00D53E0E" w:rsidRPr="00A97ABB">
        <w:rPr>
          <w:rFonts w:ascii="Arial" w:eastAsia="Arial" w:hAnsi="Arial"/>
          <w:sz w:val="24"/>
          <w:lang w:val="es-ES"/>
        </w:rPr>
        <w:t>rango IC 3-13años), sin encontrarse diferencias por sexo.</w:t>
      </w:r>
      <w:r w:rsidR="005B48CE" w:rsidRPr="00A97ABB">
        <w:rPr>
          <w:rFonts w:ascii="Arial" w:eastAsia="Arial" w:hAnsi="Arial"/>
          <w:sz w:val="24"/>
          <w:lang w:val="es-ES"/>
        </w:rPr>
        <w:t xml:space="preserve"> El total acumulado fue de 2492 casos confirmados.</w:t>
      </w:r>
      <w:r w:rsidR="00D53E0E" w:rsidRPr="00A97ABB">
        <w:rPr>
          <w:rFonts w:ascii="Arial" w:eastAsia="Arial" w:hAnsi="Arial"/>
          <w:sz w:val="24"/>
          <w:lang w:val="es-ES"/>
        </w:rPr>
        <w:t xml:space="preserve"> </w:t>
      </w:r>
      <w:r w:rsidR="005B48CE" w:rsidRPr="00A97ABB">
        <w:rPr>
          <w:rFonts w:ascii="Arial" w:eastAsia="Arial" w:hAnsi="Arial"/>
          <w:sz w:val="24"/>
          <w:lang w:val="es-ES"/>
        </w:rPr>
        <w:t>La tasa de incidencia acumuladas en menores de 20 años, por grupos de edad Argentina desde 3/3/20 hasta 31/5/20  16,59%menores de 5 años, 15,01%  de 5-9años, 14.59% 10-14años, 22,53% de 15-19</w:t>
      </w:r>
      <w:r w:rsidR="00A97ABB">
        <w:rPr>
          <w:rFonts w:ascii="Arial" w:eastAsia="Arial" w:hAnsi="Arial"/>
          <w:sz w:val="24"/>
          <w:lang w:val="es-ES"/>
        </w:rPr>
        <w:t xml:space="preserve"> </w:t>
      </w:r>
      <w:r w:rsidR="005B48CE" w:rsidRPr="00A97ABB">
        <w:rPr>
          <w:rFonts w:ascii="Arial" w:eastAsia="Arial" w:hAnsi="Arial"/>
          <w:sz w:val="24"/>
          <w:lang w:val="es-ES"/>
        </w:rPr>
        <w:t>años.</w:t>
      </w:r>
      <w:r w:rsidR="00A97ABB">
        <w:rPr>
          <w:rFonts w:ascii="Arial" w:eastAsia="Arial" w:hAnsi="Arial"/>
          <w:sz w:val="24"/>
          <w:lang w:val="es-ES"/>
        </w:rPr>
        <w:t xml:space="preserve"> </w:t>
      </w:r>
      <w:r w:rsidR="005B48CE" w:rsidRPr="00A97ABB">
        <w:rPr>
          <w:rFonts w:ascii="Arial" w:eastAsia="Arial" w:hAnsi="Arial"/>
          <w:sz w:val="24"/>
          <w:lang w:val="es-ES"/>
        </w:rPr>
        <w:t>Mediana 10 años</w:t>
      </w:r>
      <w:r>
        <w:rPr>
          <w:rFonts w:ascii="Arial" w:eastAsia="Arial" w:hAnsi="Arial"/>
          <w:sz w:val="24"/>
          <w:lang w:val="es-ES"/>
        </w:rPr>
        <w:t xml:space="preserve"> (</w:t>
      </w:r>
      <w:r w:rsidR="005B48CE" w:rsidRPr="00A97ABB">
        <w:rPr>
          <w:rFonts w:ascii="Arial" w:eastAsia="Arial" w:hAnsi="Arial"/>
          <w:sz w:val="24"/>
          <w:lang w:val="es-ES"/>
        </w:rPr>
        <w:t>rango 5-16) Se notificaron 180 casos en menores de 1año.</w:t>
      </w:r>
      <w:r w:rsidR="00A440FD" w:rsidRPr="00A97ABB">
        <w:rPr>
          <w:rFonts w:ascii="Arial" w:eastAsia="Arial" w:hAnsi="Arial"/>
          <w:sz w:val="24"/>
          <w:lang w:val="es-ES"/>
        </w:rPr>
        <w:t xml:space="preserve"> </w:t>
      </w:r>
    </w:p>
    <w:p w:rsidR="0065275F" w:rsidRPr="00A97ABB" w:rsidRDefault="002F22AE">
      <w:pPr>
        <w:spacing w:after="160" w:line="259" w:lineRule="exact"/>
      </w:pPr>
      <w:r w:rsidRPr="00A97ABB">
        <w:rPr>
          <w:rFonts w:ascii="Arial" w:eastAsia="Arial" w:hAnsi="Arial"/>
          <w:sz w:val="24"/>
          <w:lang w:val="es-ES"/>
        </w:rPr>
        <w:t>El 83% de la población menor de 18años no presentaron comorbilidades. La distribución según severidad:</w:t>
      </w:r>
      <w:r w:rsidR="0065275F" w:rsidRPr="00A97ABB">
        <w:rPr>
          <w:rFonts w:ascii="Arial" w:eastAsia="Arial" w:hAnsi="Arial"/>
          <w:sz w:val="24"/>
          <w:lang w:val="es-ES"/>
        </w:rPr>
        <w:t xml:space="preserve"> con presentaciones l</w:t>
      </w:r>
      <w:r w:rsidRPr="00A97ABB">
        <w:rPr>
          <w:rFonts w:ascii="Arial" w:eastAsia="Arial" w:hAnsi="Arial"/>
          <w:sz w:val="24"/>
          <w:lang w:val="es-ES"/>
        </w:rPr>
        <w:t>e</w:t>
      </w:r>
      <w:r w:rsidR="0065275F" w:rsidRPr="00A97ABB">
        <w:rPr>
          <w:rFonts w:ascii="Arial" w:eastAsia="Arial" w:hAnsi="Arial"/>
          <w:sz w:val="24"/>
          <w:lang w:val="es-ES"/>
        </w:rPr>
        <w:t>ves 77,4%, moderados 20,15%, graves 1,98% y casos graves que requirieron UTIP 0.46%</w:t>
      </w:r>
      <w:r w:rsidRPr="00A97ABB">
        <w:rPr>
          <w:rFonts w:ascii="Arial" w:eastAsia="Arial" w:hAnsi="Arial"/>
          <w:sz w:val="24"/>
          <w:lang w:val="es-ES"/>
        </w:rPr>
        <w:t xml:space="preserve">: </w:t>
      </w:r>
      <w:r w:rsidR="0065275F" w:rsidRPr="00A97ABB">
        <w:rPr>
          <w:rFonts w:ascii="Arial" w:eastAsia="Arial" w:hAnsi="Arial"/>
          <w:sz w:val="24"/>
          <w:lang w:val="es-ES"/>
        </w:rPr>
        <w:t>6 pacientes; 2 de alta</w:t>
      </w:r>
      <w:proofErr w:type="gramStart"/>
      <w:r w:rsidR="0065275F" w:rsidRPr="00A97ABB">
        <w:rPr>
          <w:rFonts w:ascii="Arial" w:eastAsia="Arial" w:hAnsi="Arial"/>
          <w:sz w:val="24"/>
          <w:lang w:val="es-ES"/>
        </w:rPr>
        <w:t>, ,</w:t>
      </w:r>
      <w:proofErr w:type="gramEnd"/>
      <w:r w:rsidR="0065275F" w:rsidRPr="00A97ABB">
        <w:rPr>
          <w:rFonts w:ascii="Arial" w:eastAsia="Arial" w:hAnsi="Arial"/>
          <w:sz w:val="24"/>
          <w:lang w:val="es-ES"/>
        </w:rPr>
        <w:t xml:space="preserve"> 1 fallecido ( 14 años </w:t>
      </w:r>
      <w:proofErr w:type="spellStart"/>
      <w:r w:rsidR="0065275F" w:rsidRPr="00A97ABB">
        <w:rPr>
          <w:rFonts w:ascii="Arial" w:eastAsia="Arial" w:hAnsi="Arial"/>
          <w:sz w:val="24"/>
          <w:lang w:val="es-ES"/>
        </w:rPr>
        <w:t>inmunosuprimido</w:t>
      </w:r>
      <w:proofErr w:type="spellEnd"/>
      <w:r w:rsidR="0065275F" w:rsidRPr="00A97ABB">
        <w:rPr>
          <w:rFonts w:ascii="Arial" w:eastAsia="Arial" w:hAnsi="Arial"/>
          <w:sz w:val="24"/>
          <w:lang w:val="es-ES"/>
        </w:rPr>
        <w:t>)</w:t>
      </w:r>
      <w:r w:rsidRPr="00A97ABB">
        <w:rPr>
          <w:rFonts w:ascii="Arial" w:eastAsia="Arial" w:hAnsi="Arial"/>
          <w:sz w:val="24"/>
          <w:lang w:val="es-ES"/>
        </w:rPr>
        <w:t xml:space="preserve"> y 1 hasta esa fecha en ARM c</w:t>
      </w:r>
      <w:r w:rsidR="00A97ABB">
        <w:rPr>
          <w:rFonts w:ascii="Arial" w:eastAsia="Arial" w:hAnsi="Arial"/>
          <w:sz w:val="24"/>
          <w:lang w:val="es-ES"/>
        </w:rPr>
        <w:t>on patología pulmonar crónica,(</w:t>
      </w:r>
      <w:r w:rsidRPr="00A97ABB">
        <w:rPr>
          <w:rFonts w:ascii="Arial" w:eastAsia="Arial" w:hAnsi="Arial"/>
          <w:sz w:val="24"/>
          <w:lang w:val="es-ES"/>
        </w:rPr>
        <w:t>pero que al momento de finalizar este escrito, en el mes de junio hemos tenido que lamentar el fallecimiento de un niño de 7 años con fibrosis quística avanza</w:t>
      </w:r>
      <w:r w:rsidR="00A97ABB">
        <w:rPr>
          <w:rFonts w:ascii="Arial" w:eastAsia="Arial" w:hAnsi="Arial"/>
          <w:sz w:val="24"/>
          <w:lang w:val="es-ES"/>
        </w:rPr>
        <w:t xml:space="preserve">da y asociado a una </w:t>
      </w:r>
      <w:proofErr w:type="spellStart"/>
      <w:r w:rsidR="00A97ABB">
        <w:rPr>
          <w:rFonts w:ascii="Arial" w:eastAsia="Arial" w:hAnsi="Arial"/>
          <w:sz w:val="24"/>
          <w:lang w:val="es-ES"/>
        </w:rPr>
        <w:t>coinfecció</w:t>
      </w:r>
      <w:r w:rsidRPr="00A97ABB">
        <w:rPr>
          <w:rFonts w:ascii="Arial" w:eastAsia="Arial" w:hAnsi="Arial"/>
          <w:sz w:val="24"/>
          <w:lang w:val="es-ES"/>
        </w:rPr>
        <w:t>n</w:t>
      </w:r>
      <w:proofErr w:type="spellEnd"/>
      <w:r w:rsidRPr="00A97ABB">
        <w:rPr>
          <w:rFonts w:ascii="Arial" w:eastAsia="Arial" w:hAnsi="Arial"/>
          <w:sz w:val="24"/>
          <w:lang w:val="es-ES"/>
        </w:rPr>
        <w:t>)</w:t>
      </w:r>
    </w:p>
    <w:p w:rsidR="00A440FD" w:rsidRPr="002F22AE" w:rsidRDefault="00567E09">
      <w:pPr>
        <w:spacing w:after="160" w:line="259" w:lineRule="exact"/>
        <w:rPr>
          <w:rFonts w:ascii="Arial" w:eastAsia="Arial" w:hAnsi="Arial"/>
          <w:sz w:val="24"/>
          <w:vertAlign w:val="superscript"/>
          <w:lang w:val="es-ES"/>
        </w:rPr>
      </w:pPr>
      <w:r>
        <w:rPr>
          <w:rFonts w:ascii="Arial" w:eastAsia="Arial" w:hAnsi="Arial"/>
          <w:sz w:val="24"/>
          <w:lang w:val="es-ES"/>
        </w:rPr>
        <w:t xml:space="preserve">Existen algunas preocupaciones que las bajas tasas de casos reflejen pruebas selectivas de los más enfermos, sin embargo, los datos de Corea del Sur y posteriormente de Islandia </w:t>
      </w:r>
      <w:r>
        <w:rPr>
          <w:rFonts w:ascii="Arial" w:eastAsia="Arial" w:hAnsi="Arial"/>
          <w:sz w:val="24"/>
          <w:vertAlign w:val="superscript"/>
          <w:lang w:val="es-ES"/>
        </w:rPr>
        <w:t>4</w:t>
      </w:r>
      <w:r>
        <w:rPr>
          <w:rFonts w:ascii="Arial" w:eastAsia="Arial" w:hAnsi="Arial"/>
          <w:sz w:val="24"/>
          <w:lang w:val="es-ES"/>
        </w:rPr>
        <w:t xml:space="preserve">, que han realizado pruebas comunitarias generalizadas, </w:t>
      </w:r>
      <w:r>
        <w:rPr>
          <w:rFonts w:ascii="Arial" w:eastAsia="Arial" w:hAnsi="Arial"/>
          <w:sz w:val="24"/>
          <w:lang w:val="es-ES"/>
        </w:rPr>
        <w:lastRenderedPageBreak/>
        <w:t xml:space="preserve">también han demostrado un número significativamente menor de casos en niños. Esto también se ha visto en la ciudad italiana de </w:t>
      </w:r>
      <w:proofErr w:type="spellStart"/>
      <w:r>
        <w:rPr>
          <w:rFonts w:ascii="Arial" w:eastAsia="Arial" w:hAnsi="Arial"/>
          <w:sz w:val="24"/>
          <w:lang w:val="es-ES"/>
        </w:rPr>
        <w:t>Vo</w:t>
      </w:r>
      <w:proofErr w:type="spellEnd"/>
      <w:r>
        <w:rPr>
          <w:rFonts w:ascii="Arial" w:eastAsia="Arial" w:hAnsi="Arial"/>
          <w:sz w:val="24"/>
          <w:vertAlign w:val="superscript"/>
          <w:lang w:val="es-ES"/>
        </w:rPr>
        <w:t xml:space="preserve"> 5</w:t>
      </w:r>
      <w:r>
        <w:rPr>
          <w:rFonts w:ascii="Arial" w:eastAsia="Arial" w:hAnsi="Arial"/>
          <w:sz w:val="24"/>
          <w:lang w:val="es-ES"/>
        </w:rPr>
        <w:t>, que examinó al 70% de su población y encontró 0 niños &lt;10 años positivos, a pesar de una tasa positiva del 2.6% en la población general</w:t>
      </w:r>
      <w:r w:rsidRPr="00D53E0E">
        <w:rPr>
          <w:rFonts w:ascii="Arial" w:eastAsia="Arial" w:hAnsi="Arial"/>
          <w:color w:val="70AD47" w:themeColor="accent6"/>
          <w:sz w:val="24"/>
          <w:lang w:val="es-ES"/>
        </w:rPr>
        <w:t>.</w:t>
      </w:r>
      <w:r w:rsidRPr="00D53E0E">
        <w:rPr>
          <w:rFonts w:ascii="Arial" w:eastAsia="Arial" w:hAnsi="Arial"/>
          <w:color w:val="70AD47" w:themeColor="accent6"/>
          <w:sz w:val="24"/>
          <w:vertAlign w:val="superscript"/>
          <w:lang w:val="es-ES"/>
        </w:rPr>
        <w:t xml:space="preserve"> </w:t>
      </w:r>
      <w:r>
        <w:rPr>
          <w:rFonts w:ascii="Arial" w:eastAsia="Arial" w:hAnsi="Arial"/>
          <w:sz w:val="24"/>
          <w:lang w:val="es-ES"/>
        </w:rPr>
        <w:t>En Argentina se notificaron un total de 4.418 casos sospechosos de COVID-19, de los cuales se confirmaron 152 casos. El índice de positivid</w:t>
      </w:r>
      <w:r w:rsidR="00A440FD">
        <w:rPr>
          <w:rFonts w:ascii="Arial" w:eastAsia="Arial" w:hAnsi="Arial"/>
          <w:sz w:val="24"/>
          <w:lang w:val="es-ES"/>
        </w:rPr>
        <w:t xml:space="preserve">ad en la población pediátrica </w:t>
      </w:r>
      <w:r>
        <w:rPr>
          <w:rFonts w:ascii="Arial" w:eastAsia="Arial" w:hAnsi="Arial"/>
          <w:sz w:val="24"/>
          <w:lang w:val="es-ES"/>
        </w:rPr>
        <w:t xml:space="preserve"> de 3,5%.</w:t>
      </w:r>
      <w:r>
        <w:rPr>
          <w:rFonts w:ascii="Arial" w:eastAsia="Arial" w:hAnsi="Arial"/>
          <w:sz w:val="24"/>
          <w:vertAlign w:val="superscript"/>
          <w:lang w:val="es-ES"/>
        </w:rPr>
        <w:t xml:space="preserve">3 </w:t>
      </w:r>
      <w:r w:rsidR="00A97ABB">
        <w:rPr>
          <w:rFonts w:ascii="Arial" w:eastAsia="Arial" w:hAnsi="Arial"/>
          <w:sz w:val="24"/>
          <w:vertAlign w:val="superscript"/>
          <w:lang w:val="es-ES"/>
        </w:rPr>
        <w:t>.</w:t>
      </w:r>
      <w:r w:rsidR="00A440FD" w:rsidRPr="00A97ABB">
        <w:rPr>
          <w:rFonts w:ascii="Arial" w:hAnsi="Arial"/>
          <w:sz w:val="24"/>
        </w:rPr>
        <w:t xml:space="preserve">a fines de </w:t>
      </w:r>
      <w:proofErr w:type="spellStart"/>
      <w:r w:rsidR="00A440FD" w:rsidRPr="00A97ABB">
        <w:rPr>
          <w:rFonts w:ascii="Arial" w:hAnsi="Arial"/>
          <w:sz w:val="24"/>
        </w:rPr>
        <w:t>abril</w:t>
      </w:r>
      <w:proofErr w:type="spellEnd"/>
      <w:r w:rsidR="00A440FD" w:rsidRPr="00A97ABB">
        <w:rPr>
          <w:rFonts w:ascii="Arial" w:hAnsi="Arial"/>
          <w:sz w:val="24"/>
        </w:rPr>
        <w:t xml:space="preserve"> </w:t>
      </w:r>
      <w:proofErr w:type="spellStart"/>
      <w:r w:rsidR="00A440FD" w:rsidRPr="00A97ABB">
        <w:rPr>
          <w:rFonts w:ascii="Arial" w:hAnsi="Arial"/>
          <w:sz w:val="24"/>
        </w:rPr>
        <w:t>varió</w:t>
      </w:r>
      <w:proofErr w:type="spellEnd"/>
      <w:r w:rsidR="00A440FD" w:rsidRPr="00A97ABB">
        <w:rPr>
          <w:rFonts w:ascii="Arial" w:hAnsi="Arial"/>
          <w:sz w:val="24"/>
        </w:rPr>
        <w:t xml:space="preserve"> a 11,3% </w:t>
      </w:r>
      <w:proofErr w:type="spellStart"/>
      <w:r w:rsidR="00A440FD" w:rsidRPr="00A97ABB">
        <w:rPr>
          <w:rFonts w:ascii="Arial" w:hAnsi="Arial"/>
          <w:sz w:val="24"/>
        </w:rPr>
        <w:t>a</w:t>
      </w:r>
      <w:proofErr w:type="spellEnd"/>
      <w:r w:rsidR="00A440FD" w:rsidRPr="00A97ABB">
        <w:rPr>
          <w:rFonts w:ascii="Arial" w:hAnsi="Arial"/>
          <w:sz w:val="24"/>
        </w:rPr>
        <w:t xml:space="preserve"> fines de mayo, </w:t>
      </w:r>
      <w:proofErr w:type="spellStart"/>
      <w:r w:rsidR="00A440FD" w:rsidRPr="00A97ABB">
        <w:rPr>
          <w:rFonts w:ascii="Arial" w:hAnsi="Arial"/>
          <w:sz w:val="24"/>
        </w:rPr>
        <w:t>ú</w:t>
      </w:r>
      <w:r w:rsidR="005B48CE" w:rsidRPr="00A97ABB">
        <w:rPr>
          <w:rFonts w:ascii="Arial" w:hAnsi="Arial"/>
          <w:sz w:val="24"/>
        </w:rPr>
        <w:t>ltimo</w:t>
      </w:r>
      <w:proofErr w:type="spellEnd"/>
      <w:r w:rsidR="005B48CE" w:rsidRPr="00A97ABB">
        <w:rPr>
          <w:rFonts w:ascii="Arial" w:hAnsi="Arial"/>
          <w:sz w:val="24"/>
        </w:rPr>
        <w:t xml:space="preserve"> </w:t>
      </w:r>
      <w:r w:rsidR="00A440FD" w:rsidRPr="00A97ABB">
        <w:rPr>
          <w:rFonts w:ascii="Arial" w:hAnsi="Arial"/>
          <w:sz w:val="24"/>
        </w:rPr>
        <w:t xml:space="preserve">informe de </w:t>
      </w:r>
      <w:proofErr w:type="spellStart"/>
      <w:r w:rsidR="005B48CE" w:rsidRPr="00A97ABB">
        <w:rPr>
          <w:rFonts w:ascii="Arial" w:hAnsi="Arial"/>
          <w:sz w:val="24"/>
        </w:rPr>
        <w:t>porcentaje</w:t>
      </w:r>
      <w:proofErr w:type="spellEnd"/>
      <w:r w:rsidR="005B48CE" w:rsidRPr="00A97ABB">
        <w:rPr>
          <w:rFonts w:ascii="Arial" w:hAnsi="Arial"/>
          <w:sz w:val="24"/>
        </w:rPr>
        <w:t xml:space="preserve"> de </w:t>
      </w:r>
      <w:proofErr w:type="spellStart"/>
      <w:r w:rsidR="005B48CE" w:rsidRPr="00A97ABB">
        <w:rPr>
          <w:rFonts w:ascii="Arial" w:hAnsi="Arial"/>
          <w:sz w:val="24"/>
        </w:rPr>
        <w:t>positividad</w:t>
      </w:r>
      <w:proofErr w:type="spellEnd"/>
      <w:r w:rsidR="005B48CE" w:rsidRPr="00A97ABB">
        <w:rPr>
          <w:rFonts w:ascii="Arial" w:hAnsi="Arial"/>
          <w:sz w:val="24"/>
        </w:rPr>
        <w:t xml:space="preserve"> </w:t>
      </w:r>
      <w:r w:rsidR="00A440FD" w:rsidRPr="00A97ABB">
        <w:rPr>
          <w:rFonts w:ascii="Arial" w:hAnsi="Arial"/>
          <w:sz w:val="24"/>
        </w:rPr>
        <w:t>disponible</w:t>
      </w:r>
      <w:r w:rsidR="00A440FD">
        <w:rPr>
          <w:rFonts w:ascii="Arial" w:hAnsi="Arial"/>
          <w:color w:val="0070C0"/>
          <w:sz w:val="24"/>
        </w:rPr>
        <w:t>.</w:t>
      </w:r>
      <w:r w:rsidR="00A97ABB" w:rsidRPr="00A97ABB">
        <w:rPr>
          <w:rFonts w:ascii="Arial" w:eastAsia="Arial" w:hAnsi="Arial"/>
          <w:sz w:val="24"/>
          <w:vertAlign w:val="superscript"/>
          <w:lang w:val="es-ES"/>
        </w:rPr>
        <w:t xml:space="preserve"> </w:t>
      </w:r>
      <w:r w:rsidR="00A97ABB">
        <w:rPr>
          <w:rFonts w:ascii="Arial" w:eastAsia="Arial" w:hAnsi="Arial"/>
          <w:sz w:val="24"/>
          <w:vertAlign w:val="superscript"/>
          <w:lang w:val="es-ES"/>
        </w:rPr>
        <w:t>36</w:t>
      </w:r>
    </w:p>
    <w:p w:rsidR="001E0601" w:rsidRDefault="00567E09">
      <w:pPr>
        <w:spacing w:after="160" w:line="259" w:lineRule="exact"/>
      </w:pPr>
      <w:r>
        <w:rPr>
          <w:rFonts w:ascii="Arial" w:eastAsia="Arial" w:hAnsi="Arial"/>
          <w:sz w:val="24"/>
          <w:lang w:val="es-ES"/>
        </w:rPr>
        <w:t xml:space="preserve">La literatura actual todavía no tiene explicaciones claras sobre las </w:t>
      </w:r>
      <w:r>
        <w:rPr>
          <w:rFonts w:ascii="Arial" w:eastAsia="Arial" w:hAnsi="Arial"/>
          <w:b/>
          <w:bCs/>
          <w:sz w:val="24"/>
          <w:lang w:val="es-ES"/>
        </w:rPr>
        <w:t>razones de la menor frecuencia y gravedad</w:t>
      </w:r>
      <w:r>
        <w:rPr>
          <w:rFonts w:ascii="Arial" w:eastAsia="Arial" w:hAnsi="Arial"/>
          <w:sz w:val="24"/>
          <w:lang w:val="es-ES"/>
        </w:rPr>
        <w:t xml:space="preserve"> de la infección en niños. Un factor  podría estar relacionado con un menor número de receptores ACE2 (</w:t>
      </w:r>
      <w:proofErr w:type="spellStart"/>
      <w:r>
        <w:rPr>
          <w:rFonts w:ascii="Arial" w:eastAsia="Arial" w:hAnsi="Arial"/>
          <w:sz w:val="24"/>
          <w:lang w:val="es-ES"/>
        </w:rPr>
        <w:t>angiotensin</w:t>
      </w:r>
      <w:proofErr w:type="spellEnd"/>
      <w:r>
        <w:rPr>
          <w:rFonts w:ascii="Arial" w:eastAsia="Arial" w:hAnsi="Arial"/>
          <w:sz w:val="24"/>
          <w:lang w:val="es-ES"/>
        </w:rPr>
        <w:t xml:space="preserve"> </w:t>
      </w:r>
      <w:proofErr w:type="spellStart"/>
      <w:r>
        <w:rPr>
          <w:rFonts w:ascii="Arial" w:eastAsia="Arial" w:hAnsi="Arial"/>
          <w:sz w:val="24"/>
          <w:lang w:val="es-ES"/>
        </w:rPr>
        <w:t>converting</w:t>
      </w:r>
      <w:proofErr w:type="spellEnd"/>
      <w:r>
        <w:rPr>
          <w:rFonts w:ascii="Arial" w:eastAsia="Arial" w:hAnsi="Arial"/>
          <w:sz w:val="24"/>
          <w:lang w:val="es-ES"/>
        </w:rPr>
        <w:t xml:space="preserve"> </w:t>
      </w:r>
      <w:proofErr w:type="spellStart"/>
      <w:r>
        <w:rPr>
          <w:rFonts w:ascii="Arial" w:eastAsia="Arial" w:hAnsi="Arial"/>
          <w:sz w:val="24"/>
          <w:lang w:val="es-ES"/>
        </w:rPr>
        <w:t>enzyme</w:t>
      </w:r>
      <w:proofErr w:type="spellEnd"/>
      <w:r>
        <w:rPr>
          <w:rFonts w:ascii="Arial" w:eastAsia="Arial" w:hAnsi="Arial"/>
          <w:sz w:val="24"/>
          <w:lang w:val="es-ES"/>
        </w:rPr>
        <w:t xml:space="preserve"> 2) en las células de la mucosa respiratoria, los cuales son un punto de anclaje para SARS-COV-2 mediante la proteína S permitiendo la adsorción viral.</w:t>
      </w:r>
      <w:r>
        <w:rPr>
          <w:rFonts w:ascii="Arial" w:eastAsia="Arial" w:hAnsi="Arial"/>
          <w:sz w:val="24"/>
          <w:vertAlign w:val="superscript"/>
          <w:lang w:val="es-ES"/>
        </w:rPr>
        <w:t xml:space="preserve">6 </w:t>
      </w:r>
      <w:r>
        <w:rPr>
          <w:rFonts w:ascii="Arial" w:eastAsia="Arial" w:hAnsi="Arial"/>
          <w:sz w:val="24"/>
          <w:lang w:val="es-ES"/>
        </w:rPr>
        <w:t>Otro factor involucrado podría</w:t>
      </w:r>
      <w:r>
        <w:rPr>
          <w:rFonts w:ascii="Arial" w:eastAsia="Arial" w:hAnsi="Arial"/>
          <w:sz w:val="24"/>
          <w:vertAlign w:val="superscript"/>
          <w:lang w:val="es-ES"/>
        </w:rPr>
        <w:t xml:space="preserve"> 7</w:t>
      </w:r>
      <w:r>
        <w:rPr>
          <w:rFonts w:ascii="Arial" w:eastAsia="Arial" w:hAnsi="Arial"/>
          <w:sz w:val="24"/>
          <w:lang w:val="es-ES"/>
        </w:rPr>
        <w:t xml:space="preserve"> relacionarse con la respuesta inmune. El envejecimiento presenta una pérdida estructural y funcional del sistema inmune. La pérdida de la función de los macrófagos, y de las células </w:t>
      </w:r>
      <w:proofErr w:type="spellStart"/>
      <w:r>
        <w:rPr>
          <w:rFonts w:ascii="Arial" w:eastAsia="Arial" w:hAnsi="Arial"/>
          <w:sz w:val="24"/>
          <w:lang w:val="es-ES"/>
        </w:rPr>
        <w:t>Treg</w:t>
      </w:r>
      <w:proofErr w:type="spellEnd"/>
      <w:r>
        <w:rPr>
          <w:rFonts w:ascii="Arial" w:eastAsia="Arial" w:hAnsi="Arial"/>
          <w:sz w:val="24"/>
          <w:lang w:val="es-ES"/>
        </w:rPr>
        <w:t xml:space="preserve"> impide la regulación adecuada de esta respuesta, resultando en una tormenta inmune y severo daño tisular </w:t>
      </w:r>
      <w:r>
        <w:rPr>
          <w:rFonts w:ascii="Arial" w:eastAsia="Arial" w:hAnsi="Arial"/>
          <w:sz w:val="24"/>
          <w:vertAlign w:val="superscript"/>
          <w:lang w:val="es-ES"/>
        </w:rPr>
        <w:t>8</w:t>
      </w:r>
      <w:r>
        <w:rPr>
          <w:rFonts w:ascii="Arial" w:eastAsia="Arial" w:hAnsi="Arial"/>
          <w:sz w:val="24"/>
          <w:lang w:val="es-ES"/>
        </w:rPr>
        <w:t>En niños, el timo está activo y se asocia a una respuesta adaptativa adecuada. Siendo ésta más controlada y organizada en comp</w:t>
      </w:r>
      <w:r w:rsidR="00A97ABB">
        <w:rPr>
          <w:rFonts w:ascii="Arial" w:eastAsia="Arial" w:hAnsi="Arial"/>
          <w:sz w:val="24"/>
          <w:lang w:val="es-ES"/>
        </w:rPr>
        <w:t>aración a los ancianos; protegié</w:t>
      </w:r>
      <w:r>
        <w:rPr>
          <w:rFonts w:ascii="Arial" w:eastAsia="Arial" w:hAnsi="Arial"/>
          <w:sz w:val="24"/>
          <w:lang w:val="es-ES"/>
        </w:rPr>
        <w:t>ndolos del daño tisular grave.</w:t>
      </w:r>
      <w:r>
        <w:rPr>
          <w:rFonts w:ascii="Arial" w:eastAsia="Arial" w:hAnsi="Arial"/>
          <w:sz w:val="24"/>
          <w:vertAlign w:val="superscript"/>
          <w:lang w:val="es-ES"/>
        </w:rPr>
        <w:t>7</w:t>
      </w:r>
      <w:r>
        <w:rPr>
          <w:rFonts w:ascii="Arial" w:eastAsia="Arial" w:hAnsi="Arial"/>
          <w:sz w:val="24"/>
          <w:lang w:val="es-ES"/>
        </w:rPr>
        <w:t>Por otro lado, la exposición repetida a infecciones virales, sobre</w:t>
      </w:r>
      <w:r w:rsidR="00A97ABB">
        <w:rPr>
          <w:rFonts w:ascii="Arial" w:eastAsia="Arial" w:hAnsi="Arial"/>
          <w:sz w:val="24"/>
          <w:lang w:val="es-ES"/>
        </w:rPr>
        <w:t xml:space="preserve"> </w:t>
      </w:r>
      <w:r>
        <w:rPr>
          <w:rFonts w:ascii="Arial" w:eastAsia="Arial" w:hAnsi="Arial"/>
          <w:sz w:val="24"/>
          <w:lang w:val="es-ES"/>
        </w:rPr>
        <w:t>todo en los niños más pequeños, podría favorecer al</w:t>
      </w:r>
      <w:r>
        <w:rPr>
          <w:rFonts w:ascii="Arial" w:eastAsia="Arial" w:hAnsi="Arial"/>
          <w:color w:val="4B1F6F"/>
          <w:sz w:val="24"/>
          <w:lang w:val="es-ES"/>
        </w:rPr>
        <w:t xml:space="preserve"> </w:t>
      </w:r>
      <w:r>
        <w:rPr>
          <w:rFonts w:ascii="Arial" w:eastAsia="Arial" w:hAnsi="Arial"/>
          <w:sz w:val="24"/>
          <w:lang w:val="es-ES"/>
        </w:rPr>
        <w:t>sistema inmune de los niños cuando este responde al SARSCoV-2.</w:t>
      </w:r>
      <w:r>
        <w:rPr>
          <w:rFonts w:ascii="Arial" w:eastAsia="Arial" w:hAnsi="Arial"/>
          <w:sz w:val="24"/>
          <w:vertAlign w:val="superscript"/>
          <w:lang w:val="es-ES"/>
        </w:rPr>
        <w:t xml:space="preserve">9 </w:t>
      </w:r>
      <w:r>
        <w:rPr>
          <w:rFonts w:ascii="Arial" w:eastAsia="Arial" w:hAnsi="Arial"/>
          <w:sz w:val="24"/>
          <w:lang w:val="es-ES"/>
        </w:rPr>
        <w:t xml:space="preserve">Además, podrían contribuir la menor frecuencia de comorbilidades asociadas a enfermedad grave por COVID-19 en adultos, como la hipertensión arterial, enfermedad cardiovascular, la diabetes descompensada, </w:t>
      </w:r>
      <w:proofErr w:type="spellStart"/>
      <w:r>
        <w:rPr>
          <w:rFonts w:ascii="Arial" w:eastAsia="Arial" w:hAnsi="Arial"/>
          <w:sz w:val="24"/>
          <w:lang w:val="es-ES"/>
        </w:rPr>
        <w:t>a</w:t>
      </w:r>
      <w:proofErr w:type="spellEnd"/>
      <w:r>
        <w:rPr>
          <w:rFonts w:ascii="Arial" w:eastAsia="Arial" w:hAnsi="Arial"/>
          <w:sz w:val="24"/>
          <w:lang w:val="es-ES"/>
        </w:rPr>
        <w:t xml:space="preserve"> igual que la menor exposición a contaminantes ambientales como el tabaco.</w:t>
      </w:r>
      <w:r>
        <w:rPr>
          <w:rFonts w:ascii="Arial" w:eastAsia="Arial" w:hAnsi="Arial"/>
          <w:sz w:val="24"/>
          <w:vertAlign w:val="superscript"/>
          <w:lang w:val="es-ES"/>
        </w:rPr>
        <w:t>10</w:t>
      </w:r>
      <w:r>
        <w:rPr>
          <w:rFonts w:ascii="Arial" w:eastAsia="Arial" w:hAnsi="Arial"/>
          <w:sz w:val="24"/>
          <w:lang w:val="es-ES"/>
        </w:rPr>
        <w:t xml:space="preserve"> Es llamativo que  la obesidad fue la comorbilidad más prevalente entre los pacientes hospitalizados en un centro pediátrico de Nueva York (11/50 [22%])</w:t>
      </w:r>
      <w:r>
        <w:rPr>
          <w:rFonts w:ascii="Arial" w:eastAsia="Arial" w:hAnsi="Arial"/>
          <w:sz w:val="24"/>
          <w:vertAlign w:val="superscript"/>
          <w:lang w:val="es-ES"/>
        </w:rPr>
        <w:t>11</w:t>
      </w:r>
      <w:r>
        <w:rPr>
          <w:rFonts w:ascii="Arial" w:eastAsia="Arial" w:hAnsi="Arial"/>
          <w:sz w:val="24"/>
          <w:lang w:val="es-ES"/>
        </w:rPr>
        <w:t xml:space="preserve"> El origen étnico también debería ser tomado en cuenta, ya que si bien el mayor número de pacientes pediátricos reportados son de origen chino, los reportes europeos mostraron una proporción aumentada de pacientes origen africano, y en este último estudio de Nueva York se observó que el 50% de los pacientes hospitalizados eran de origen hispano</w:t>
      </w:r>
      <w:r>
        <w:rPr>
          <w:rFonts w:ascii="Arial" w:eastAsia="Arial" w:hAnsi="Arial"/>
          <w:sz w:val="24"/>
          <w:vertAlign w:val="superscript"/>
          <w:lang w:val="es-ES"/>
        </w:rPr>
        <w:t>11</w:t>
      </w:r>
      <w:r>
        <w:rPr>
          <w:rFonts w:ascii="Arial" w:eastAsia="Arial" w:hAnsi="Arial"/>
          <w:sz w:val="24"/>
          <w:lang w:val="es-ES"/>
        </w:rPr>
        <w:t xml:space="preserve">. De modo que debemos  estar atentos a una posible diferencia en las presentaciones que tengamos en América Latina. </w:t>
      </w:r>
    </w:p>
    <w:p w:rsidR="001E0601" w:rsidRDefault="00567E09">
      <w:pPr>
        <w:spacing w:after="160" w:line="259" w:lineRule="exact"/>
      </w:pPr>
      <w:r>
        <w:rPr>
          <w:rFonts w:ascii="Arial" w:eastAsia="Arial" w:hAnsi="Arial"/>
          <w:sz w:val="24"/>
          <w:lang w:val="es-ES"/>
        </w:rPr>
        <w:t>Otra diferencia con respecto a la población adulta podría ser el</w:t>
      </w:r>
      <w:r>
        <w:rPr>
          <w:rFonts w:ascii="Arial" w:eastAsia="Arial" w:hAnsi="Arial"/>
          <w:b/>
          <w:bCs/>
          <w:sz w:val="24"/>
          <w:lang w:val="es-ES"/>
        </w:rPr>
        <w:t xml:space="preserve"> tiempo de positividad de las pruebas de PCR </w:t>
      </w:r>
      <w:r>
        <w:rPr>
          <w:rFonts w:ascii="Arial" w:eastAsia="Arial" w:hAnsi="Arial"/>
          <w:sz w:val="24"/>
          <w:lang w:val="es-ES"/>
        </w:rPr>
        <w:t>ya que éste se ha reportado más prolongado</w:t>
      </w:r>
      <w:r>
        <w:rPr>
          <w:rFonts w:ascii="Arial" w:eastAsia="Arial" w:hAnsi="Arial"/>
          <w:sz w:val="24"/>
          <w:vertAlign w:val="superscript"/>
          <w:lang w:val="es-ES"/>
        </w:rPr>
        <w:t xml:space="preserve">12  </w:t>
      </w:r>
      <w:r>
        <w:rPr>
          <w:rFonts w:ascii="Arial" w:eastAsia="Arial" w:hAnsi="Arial"/>
          <w:sz w:val="24"/>
          <w:lang w:val="es-ES"/>
        </w:rPr>
        <w:t>Esta situación podría deberse a que si bien la respuesta controlada previene el daño tisular, también hace que la eliminación viral sea más difícil y por lo tanto se prolonga el tiempo de portación del virus.</w:t>
      </w:r>
      <w:r>
        <w:rPr>
          <w:rFonts w:ascii="Arial" w:eastAsia="Arial" w:hAnsi="Arial"/>
          <w:sz w:val="24"/>
          <w:vertAlign w:val="superscript"/>
          <w:lang w:val="es-ES"/>
        </w:rPr>
        <w:t>8</w:t>
      </w:r>
      <w:r>
        <w:rPr>
          <w:rFonts w:ascii="Arial" w:eastAsia="Arial" w:hAnsi="Arial"/>
          <w:sz w:val="24"/>
          <w:lang w:val="es-ES"/>
        </w:rPr>
        <w:t xml:space="preserve"> Los niños tendrían mayor portación en el tracto respiratorio superior y menor afectación del tracto respiratorio inferior.</w:t>
      </w:r>
      <w:r>
        <w:rPr>
          <w:rFonts w:ascii="Arial" w:eastAsia="Arial" w:hAnsi="Arial"/>
          <w:color w:val="C5000B"/>
          <w:sz w:val="24"/>
          <w:vertAlign w:val="superscript"/>
          <w:lang w:val="es-ES"/>
        </w:rPr>
        <w:t xml:space="preserve">2 </w:t>
      </w:r>
      <w:r>
        <w:rPr>
          <w:rFonts w:ascii="Arial" w:eastAsia="Arial" w:hAnsi="Arial"/>
          <w:sz w:val="24"/>
          <w:lang w:val="es-ES"/>
        </w:rPr>
        <w:t xml:space="preserve"> Lo cual implicaría que los niños podrían tener un rol en la propagación del virus en la comunidad. Sin embargo otros estudios epidemiológicos no coinciden con esta teoría. La evaluación de múltiples grupos familiares </w:t>
      </w:r>
      <w:proofErr w:type="gramStart"/>
      <w:r>
        <w:rPr>
          <w:rFonts w:ascii="Arial" w:eastAsia="Arial" w:hAnsi="Arial"/>
          <w:sz w:val="24"/>
          <w:lang w:val="es-ES"/>
        </w:rPr>
        <w:t>han</w:t>
      </w:r>
      <w:proofErr w:type="gramEnd"/>
      <w:r>
        <w:rPr>
          <w:rFonts w:ascii="Arial" w:eastAsia="Arial" w:hAnsi="Arial"/>
          <w:sz w:val="24"/>
          <w:lang w:val="es-ES"/>
        </w:rPr>
        <w:t xml:space="preserve"> revelado que es poco probable que los niños sean el caso índice. Uno de ellos realizado en </w:t>
      </w:r>
      <w:proofErr w:type="spellStart"/>
      <w:r>
        <w:rPr>
          <w:rFonts w:ascii="Arial" w:eastAsia="Arial" w:hAnsi="Arial"/>
          <w:sz w:val="24"/>
          <w:lang w:val="es-ES"/>
        </w:rPr>
        <w:t>Guanzhou</w:t>
      </w:r>
      <w:proofErr w:type="spellEnd"/>
      <w:r>
        <w:rPr>
          <w:rFonts w:ascii="Arial" w:eastAsia="Arial" w:hAnsi="Arial"/>
          <w:sz w:val="24"/>
          <w:lang w:val="es-ES"/>
        </w:rPr>
        <w:t>, China  sobre 2075 contactos estrechos de 212 casos confirmados de COVID-19 encontró que sólo el 5 % de los casos primarios fueron niños (&lt; 20 años).</w:t>
      </w:r>
      <w:r>
        <w:rPr>
          <w:rFonts w:ascii="Arial" w:eastAsia="Arial" w:hAnsi="Arial"/>
          <w:sz w:val="24"/>
          <w:vertAlign w:val="superscript"/>
          <w:lang w:val="es-ES"/>
        </w:rPr>
        <w:t xml:space="preserve">13 </w:t>
      </w:r>
      <w:r>
        <w:rPr>
          <w:rFonts w:ascii="Arial" w:eastAsia="Arial" w:hAnsi="Arial"/>
          <w:sz w:val="24"/>
          <w:lang w:val="es-ES"/>
        </w:rPr>
        <w:t>Varios estudios han demostrado que el SARS-CoV-2 puede ser detectado por PCR en las heces de los lactantes afectados, durante varias semanas después de la resolución de los síntomas</w:t>
      </w:r>
      <w:r>
        <w:rPr>
          <w:rFonts w:ascii="Arial" w:eastAsia="Arial" w:hAnsi="Arial"/>
          <w:sz w:val="24"/>
          <w:vertAlign w:val="superscript"/>
          <w:lang w:val="es-ES"/>
        </w:rPr>
        <w:t>14</w:t>
      </w:r>
      <w:r>
        <w:rPr>
          <w:rFonts w:ascii="Arial" w:eastAsia="Arial" w:hAnsi="Arial"/>
          <w:sz w:val="24"/>
          <w:lang w:val="es-ES"/>
        </w:rPr>
        <w:t>. Esto provocó la preocupación de una posible transmisión fecal-oral. Sin embargo las investigaciones no lograron encontrar ningún virus vivo y cultivable en las heces a pesar de que el ARN viral es detectable, lo que sugiere que esto representa restos virales en lugar de virus activos. Se necesitarán más estudios para arrojar más luz sobre esto.</w:t>
      </w:r>
      <w:r>
        <w:rPr>
          <w:rFonts w:ascii="Arial" w:eastAsia="Arial" w:hAnsi="Arial"/>
          <w:sz w:val="24"/>
          <w:vertAlign w:val="superscript"/>
          <w:lang w:val="es-ES"/>
        </w:rPr>
        <w:t>1</w:t>
      </w:r>
    </w:p>
    <w:p w:rsidR="00567E09" w:rsidRPr="00A97ABB" w:rsidRDefault="00567E09" w:rsidP="00567E09">
      <w:pPr>
        <w:spacing w:after="160" w:line="259" w:lineRule="exact"/>
        <w:rPr>
          <w:rFonts w:ascii="Arial" w:eastAsia="Arial" w:hAnsi="Arial"/>
          <w:sz w:val="24"/>
          <w:lang w:val="es-ES"/>
        </w:rPr>
      </w:pPr>
      <w:r>
        <w:rPr>
          <w:rFonts w:ascii="Arial" w:eastAsia="Arial" w:hAnsi="Arial"/>
          <w:sz w:val="24"/>
          <w:lang w:val="es-ES"/>
        </w:rPr>
        <w:t xml:space="preserve">En humanos, los coronavirus causan principalmente enfermedades respiratorias y síntomas gastrointestinales que van desde el resfriado común hasta enfermedades más graves como bronquitis, neumonía, síndrome de dificultad respiratoria aguda grave (SDRA), </w:t>
      </w:r>
      <w:proofErr w:type="spellStart"/>
      <w:r>
        <w:rPr>
          <w:rFonts w:ascii="Arial" w:eastAsia="Arial" w:hAnsi="Arial"/>
          <w:sz w:val="24"/>
          <w:lang w:val="es-ES"/>
        </w:rPr>
        <w:t>coagulopatía</w:t>
      </w:r>
      <w:proofErr w:type="spellEnd"/>
      <w:r>
        <w:rPr>
          <w:rFonts w:ascii="Arial" w:eastAsia="Arial" w:hAnsi="Arial"/>
          <w:sz w:val="24"/>
          <w:lang w:val="es-ES"/>
        </w:rPr>
        <w:t xml:space="preserve">, insuficiencia </w:t>
      </w:r>
      <w:proofErr w:type="spellStart"/>
      <w:r>
        <w:rPr>
          <w:rFonts w:ascii="Arial" w:eastAsia="Arial" w:hAnsi="Arial"/>
          <w:sz w:val="24"/>
          <w:lang w:val="es-ES"/>
        </w:rPr>
        <w:t>multiorgánica</w:t>
      </w:r>
      <w:proofErr w:type="spellEnd"/>
      <w:r>
        <w:rPr>
          <w:rFonts w:ascii="Arial" w:eastAsia="Arial" w:hAnsi="Arial"/>
          <w:sz w:val="24"/>
          <w:lang w:val="es-ES"/>
        </w:rPr>
        <w:t xml:space="preserve"> y muerte.</w:t>
      </w:r>
      <w:r>
        <w:rPr>
          <w:rFonts w:ascii="Arial" w:eastAsia="Arial" w:hAnsi="Arial"/>
          <w:sz w:val="24"/>
          <w:vertAlign w:val="superscript"/>
          <w:lang w:val="es-ES"/>
        </w:rPr>
        <w:t>15</w:t>
      </w:r>
      <w:r>
        <w:rPr>
          <w:rFonts w:ascii="Arial" w:eastAsia="Arial" w:hAnsi="Arial"/>
          <w:sz w:val="24"/>
          <w:lang w:val="es-ES"/>
        </w:rPr>
        <w:t xml:space="preserve"> </w:t>
      </w:r>
      <w:r>
        <w:rPr>
          <w:rFonts w:ascii="Arial" w:eastAsia="Arial" w:hAnsi="Arial"/>
          <w:b/>
          <w:bCs/>
          <w:sz w:val="24"/>
          <w:lang w:val="es-ES"/>
        </w:rPr>
        <w:t>Los síntomas</w:t>
      </w:r>
      <w:r>
        <w:rPr>
          <w:rFonts w:ascii="Arial" w:eastAsia="Arial" w:hAnsi="Arial"/>
          <w:sz w:val="24"/>
          <w:lang w:val="es-ES"/>
        </w:rPr>
        <w:t xml:space="preserve"> por SARSCoV-2 en </w:t>
      </w:r>
      <w:proofErr w:type="gramStart"/>
      <w:r>
        <w:rPr>
          <w:rFonts w:ascii="Arial" w:eastAsia="Arial" w:hAnsi="Arial"/>
          <w:sz w:val="24"/>
          <w:lang w:val="es-ES"/>
        </w:rPr>
        <w:t>pediatría ,</w:t>
      </w:r>
      <w:proofErr w:type="gramEnd"/>
      <w:r>
        <w:rPr>
          <w:rFonts w:ascii="Arial" w:eastAsia="Arial" w:hAnsi="Arial"/>
          <w:sz w:val="24"/>
          <w:lang w:val="es-ES"/>
        </w:rPr>
        <w:t xml:space="preserve"> también varían en ese abanico, con un alto porcentaje de síntomas leves o asintomáticos. El período de incubación estimado para COVID-19 es de hasta 14 días desde el momento de la exposición, con un período medio de 4 a 5 días.</w:t>
      </w:r>
      <w:r>
        <w:rPr>
          <w:rFonts w:ascii="Arial" w:eastAsia="Arial" w:hAnsi="Arial"/>
          <w:color w:val="FF5429"/>
          <w:sz w:val="24"/>
          <w:lang w:val="es-ES"/>
        </w:rPr>
        <w:t xml:space="preserve"> </w:t>
      </w:r>
      <w:r>
        <w:rPr>
          <w:rFonts w:ascii="Arial" w:eastAsia="Arial" w:hAnsi="Arial"/>
          <w:sz w:val="24"/>
          <w:lang w:val="es-ES"/>
        </w:rPr>
        <w:t>En un análisis epidemi</w:t>
      </w:r>
      <w:r w:rsidR="00A97ABB">
        <w:rPr>
          <w:rFonts w:ascii="Arial" w:eastAsia="Arial" w:hAnsi="Arial"/>
          <w:sz w:val="24"/>
          <w:lang w:val="es-ES"/>
        </w:rPr>
        <w:t>o</w:t>
      </w:r>
      <w:r>
        <w:rPr>
          <w:rFonts w:ascii="Arial" w:eastAsia="Arial" w:hAnsi="Arial"/>
          <w:sz w:val="24"/>
          <w:lang w:val="es-ES"/>
        </w:rPr>
        <w:t>lógico de paciente pediátricos en China, de 2135 casos (1407 sospechosos y 728 confirmados)</w:t>
      </w:r>
      <w:r>
        <w:rPr>
          <w:rFonts w:ascii="Arial" w:eastAsia="Arial" w:hAnsi="Arial"/>
          <w:sz w:val="24"/>
          <w:vertAlign w:val="superscript"/>
          <w:lang w:val="es-ES"/>
        </w:rPr>
        <w:t>2</w:t>
      </w:r>
      <w:r>
        <w:rPr>
          <w:rFonts w:ascii="Arial" w:eastAsia="Arial" w:hAnsi="Arial"/>
          <w:sz w:val="24"/>
          <w:lang w:val="es-ES"/>
        </w:rPr>
        <w:t xml:space="preserve"> el 13% de los virológicamente confirmados tenía una infección </w:t>
      </w:r>
      <w:proofErr w:type="spellStart"/>
      <w:r>
        <w:rPr>
          <w:rFonts w:ascii="Arial" w:eastAsia="Arial" w:hAnsi="Arial"/>
          <w:sz w:val="24"/>
          <w:lang w:val="es-ES"/>
        </w:rPr>
        <w:t>asíntomática</w:t>
      </w:r>
      <w:proofErr w:type="spellEnd"/>
      <w:r>
        <w:rPr>
          <w:rFonts w:ascii="Arial" w:eastAsia="Arial" w:hAnsi="Arial"/>
          <w:sz w:val="24"/>
          <w:lang w:val="es-ES"/>
        </w:rPr>
        <w:t xml:space="preserve">, entre los sintomáticos el 5% tenía disnea o hipoxemia y 0,6% progresaron a SDRA o falla </w:t>
      </w:r>
      <w:proofErr w:type="spellStart"/>
      <w:r>
        <w:rPr>
          <w:rFonts w:ascii="Arial" w:eastAsia="Arial" w:hAnsi="Arial"/>
          <w:sz w:val="24"/>
          <w:lang w:val="es-ES"/>
        </w:rPr>
        <w:t>multiorgánica</w:t>
      </w:r>
      <w:proofErr w:type="spellEnd"/>
      <w:r>
        <w:rPr>
          <w:rFonts w:ascii="Arial" w:eastAsia="Arial" w:hAnsi="Arial"/>
          <w:sz w:val="24"/>
          <w:lang w:val="es-ES"/>
        </w:rPr>
        <w:t xml:space="preserve">; entre los pacientes severos y críticos los menores de un año representaron la mayor proporción de casos. En el reporte del </w:t>
      </w:r>
      <w:proofErr w:type="spellStart"/>
      <w:r>
        <w:rPr>
          <w:rFonts w:ascii="Arial" w:eastAsia="Arial" w:hAnsi="Arial"/>
          <w:sz w:val="24"/>
          <w:lang w:val="es-ES"/>
        </w:rPr>
        <w:t>del</w:t>
      </w:r>
      <w:proofErr w:type="spellEnd"/>
      <w:r>
        <w:rPr>
          <w:rFonts w:ascii="Arial" w:eastAsia="Arial" w:hAnsi="Arial"/>
          <w:sz w:val="24"/>
          <w:lang w:val="es-ES"/>
        </w:rPr>
        <w:t xml:space="preserve"> 10 de abril del 2020 del Center </w:t>
      </w:r>
      <w:proofErr w:type="spellStart"/>
      <w:r>
        <w:rPr>
          <w:rFonts w:ascii="Arial" w:eastAsia="Arial" w:hAnsi="Arial"/>
          <w:sz w:val="24"/>
          <w:lang w:val="es-ES"/>
        </w:rPr>
        <w:t>for</w:t>
      </w:r>
      <w:proofErr w:type="spellEnd"/>
      <w:r>
        <w:rPr>
          <w:rFonts w:ascii="Arial" w:eastAsia="Arial" w:hAnsi="Arial"/>
          <w:sz w:val="24"/>
          <w:lang w:val="es-ES"/>
        </w:rPr>
        <w:t xml:space="preserve"> </w:t>
      </w:r>
      <w:proofErr w:type="spellStart"/>
      <w:r>
        <w:rPr>
          <w:rFonts w:ascii="Arial" w:eastAsia="Arial" w:hAnsi="Arial"/>
          <w:sz w:val="24"/>
          <w:lang w:val="es-ES"/>
        </w:rPr>
        <w:t>Disease</w:t>
      </w:r>
      <w:proofErr w:type="spellEnd"/>
      <w:r>
        <w:rPr>
          <w:rFonts w:ascii="Arial" w:eastAsia="Arial" w:hAnsi="Arial"/>
          <w:sz w:val="24"/>
          <w:lang w:val="es-ES"/>
        </w:rPr>
        <w:t xml:space="preserve"> Control and </w:t>
      </w:r>
      <w:proofErr w:type="spellStart"/>
      <w:r>
        <w:rPr>
          <w:rFonts w:ascii="Arial" w:eastAsia="Arial" w:hAnsi="Arial"/>
          <w:sz w:val="24"/>
          <w:lang w:val="es-ES"/>
        </w:rPr>
        <w:t>Prevention</w:t>
      </w:r>
      <w:proofErr w:type="spellEnd"/>
      <w:r w:rsidR="00A97ABB">
        <w:rPr>
          <w:rFonts w:ascii="Arial" w:eastAsia="Arial" w:hAnsi="Arial"/>
          <w:sz w:val="24"/>
          <w:lang w:val="es-ES"/>
        </w:rPr>
        <w:t xml:space="preserve"> </w:t>
      </w:r>
      <w:r>
        <w:rPr>
          <w:rFonts w:ascii="Arial" w:eastAsia="Arial" w:hAnsi="Arial"/>
          <w:sz w:val="24"/>
          <w:lang w:val="es-ES"/>
        </w:rPr>
        <w:t>(CDC) se informaron 2572 (1,7%) menores  de 18 años, el 73% de los pacientes con información completa, presentaba fiebre, tos o dificultada respiratoria. En Argentina,</w:t>
      </w:r>
      <w:r>
        <w:rPr>
          <w:rFonts w:ascii="Arial" w:eastAsia="Arial" w:hAnsi="Arial"/>
          <w:sz w:val="24"/>
          <w:vertAlign w:val="superscript"/>
          <w:lang w:val="es-ES"/>
        </w:rPr>
        <w:t>3</w:t>
      </w:r>
      <w:r w:rsidR="00A97ABB">
        <w:rPr>
          <w:rFonts w:ascii="Arial" w:eastAsia="Arial" w:hAnsi="Arial"/>
          <w:sz w:val="24"/>
          <w:lang w:val="es-ES"/>
        </w:rPr>
        <w:t xml:space="preserve"> en la</w:t>
      </w:r>
      <w:r>
        <w:rPr>
          <w:rFonts w:ascii="Arial" w:eastAsia="Arial" w:hAnsi="Arial"/>
          <w:sz w:val="24"/>
          <w:lang w:val="es-ES"/>
        </w:rPr>
        <w:t xml:space="preserve"> actualización epidemiológica (30 de abril) en menores de 15 años, en cuanto a la signo- sintomatología más frecuente se destacan la presencia de fiebre (86,5%), seguido de tos (52,9%) y </w:t>
      </w:r>
      <w:proofErr w:type="spellStart"/>
      <w:r>
        <w:rPr>
          <w:rFonts w:ascii="Arial" w:eastAsia="Arial" w:hAnsi="Arial"/>
          <w:sz w:val="24"/>
          <w:lang w:val="es-ES"/>
        </w:rPr>
        <w:t>odinofagia</w:t>
      </w:r>
      <w:proofErr w:type="spellEnd"/>
      <w:r>
        <w:rPr>
          <w:rFonts w:ascii="Arial" w:eastAsia="Arial" w:hAnsi="Arial"/>
          <w:sz w:val="24"/>
          <w:lang w:val="es-ES"/>
        </w:rPr>
        <w:t xml:space="preserve"> (51,9%). De los confirmados, 26 casos fueron considerados </w:t>
      </w:r>
      <w:proofErr w:type="spellStart"/>
      <w:r>
        <w:rPr>
          <w:rFonts w:ascii="Arial" w:eastAsia="Arial" w:hAnsi="Arial"/>
          <w:sz w:val="24"/>
          <w:lang w:val="es-ES"/>
        </w:rPr>
        <w:t>oligosintomáticos</w:t>
      </w:r>
      <w:proofErr w:type="spellEnd"/>
      <w:r>
        <w:rPr>
          <w:rFonts w:ascii="Arial" w:eastAsia="Arial" w:hAnsi="Arial"/>
          <w:sz w:val="24"/>
          <w:lang w:val="es-ES"/>
        </w:rPr>
        <w:t>, y fueron definidos como aquellos casos que sólo presentaron fiebre o bien cualquier otro signo o síntoma de enfermedad, pero en ausencia de fiebre.</w:t>
      </w:r>
      <w:r w:rsidRPr="00567E09">
        <w:rPr>
          <w:rFonts w:ascii="Arial" w:eastAsia="Arial" w:hAnsi="Arial"/>
          <w:color w:val="0070C0"/>
          <w:sz w:val="24"/>
          <w:lang w:val="es-ES"/>
        </w:rPr>
        <w:t xml:space="preserve"> </w:t>
      </w:r>
      <w:r w:rsidRPr="00A97ABB">
        <w:rPr>
          <w:rFonts w:ascii="Arial" w:eastAsia="Arial" w:hAnsi="Arial"/>
          <w:sz w:val="24"/>
          <w:lang w:val="es-ES"/>
        </w:rPr>
        <w:t>E</w:t>
      </w:r>
      <w:r w:rsidR="00A97ABB" w:rsidRPr="00A97ABB">
        <w:rPr>
          <w:rFonts w:ascii="Arial" w:eastAsia="Arial" w:hAnsi="Arial"/>
          <w:sz w:val="24"/>
          <w:lang w:val="es-ES"/>
        </w:rPr>
        <w:t>n e</w:t>
      </w:r>
      <w:r w:rsidRPr="00A97ABB">
        <w:rPr>
          <w:rFonts w:ascii="Arial" w:eastAsia="Arial" w:hAnsi="Arial"/>
          <w:sz w:val="24"/>
          <w:lang w:val="es-ES"/>
        </w:rPr>
        <w:t xml:space="preserve">l </w:t>
      </w:r>
      <w:r w:rsidR="00A97ABB" w:rsidRPr="00A97ABB">
        <w:rPr>
          <w:rFonts w:ascii="Arial" w:eastAsia="Arial" w:hAnsi="Arial"/>
          <w:sz w:val="24"/>
          <w:lang w:val="es-ES"/>
        </w:rPr>
        <w:t xml:space="preserve">último informe el </w:t>
      </w:r>
      <w:r w:rsidRPr="00A97ABB">
        <w:rPr>
          <w:rFonts w:ascii="Arial" w:eastAsia="Arial" w:hAnsi="Arial"/>
          <w:sz w:val="24"/>
          <w:lang w:val="es-ES"/>
        </w:rPr>
        <w:t>67,1%presentó fiebre como signo sintomatología más frecu</w:t>
      </w:r>
      <w:r w:rsidR="00A97ABB" w:rsidRPr="00A97ABB">
        <w:rPr>
          <w:rFonts w:ascii="Arial" w:eastAsia="Arial" w:hAnsi="Arial"/>
          <w:sz w:val="24"/>
          <w:lang w:val="es-ES"/>
        </w:rPr>
        <w:t>ente. Y la presentación clínica fue agrupada así: 55,7% sólo</w:t>
      </w:r>
      <w:r w:rsidRPr="00A97ABB">
        <w:rPr>
          <w:rFonts w:ascii="Arial" w:eastAsia="Arial" w:hAnsi="Arial"/>
          <w:sz w:val="24"/>
          <w:lang w:val="es-ES"/>
        </w:rPr>
        <w:t xml:space="preserve"> respiratoria; 19,6% respirator</w:t>
      </w:r>
      <w:r w:rsidR="00A97ABB" w:rsidRPr="00A97ABB">
        <w:rPr>
          <w:rFonts w:ascii="Arial" w:eastAsia="Arial" w:hAnsi="Arial"/>
          <w:sz w:val="24"/>
          <w:lang w:val="es-ES"/>
        </w:rPr>
        <w:t>ia y neurológica; 9,1% neuroló</w:t>
      </w:r>
      <w:r w:rsidRPr="00A97ABB">
        <w:rPr>
          <w:rFonts w:ascii="Arial" w:eastAsia="Arial" w:hAnsi="Arial"/>
          <w:sz w:val="24"/>
          <w:lang w:val="es-ES"/>
        </w:rPr>
        <w:t>gica, 7,5% fue respiratoria y gastrointestinal; 3,5%sólo gastrointestinal; 3,4% respiratorio, neurológico y gastrointestinal y 1,2% gastrointestinal y neurológico</w:t>
      </w:r>
      <w:r w:rsidR="00A97ABB" w:rsidRPr="00A97ABB">
        <w:rPr>
          <w:rFonts w:ascii="Arial" w:eastAsia="Arial" w:hAnsi="Arial"/>
          <w:sz w:val="24"/>
          <w:vertAlign w:val="superscript"/>
          <w:lang w:val="es-ES"/>
        </w:rPr>
        <w:t>36.</w:t>
      </w:r>
    </w:p>
    <w:p w:rsidR="001E0601" w:rsidRDefault="00567E09">
      <w:pPr>
        <w:spacing w:after="160" w:line="259" w:lineRule="auto"/>
      </w:pPr>
      <w:r>
        <w:rPr>
          <w:rFonts w:ascii="Arial" w:eastAsia="Arial" w:hAnsi="Arial"/>
          <w:sz w:val="24"/>
          <w:lang w:val="es-ES"/>
        </w:rPr>
        <w:t xml:space="preserve"> En la mayoría de los reportes las característ</w:t>
      </w:r>
      <w:r w:rsidR="00A97ABB">
        <w:rPr>
          <w:rFonts w:ascii="Arial" w:eastAsia="Arial" w:hAnsi="Arial"/>
          <w:sz w:val="24"/>
          <w:lang w:val="es-ES"/>
        </w:rPr>
        <w:t>icas de presentación más frecuentes</w:t>
      </w:r>
      <w:r>
        <w:rPr>
          <w:rFonts w:ascii="Arial" w:eastAsia="Arial" w:hAnsi="Arial"/>
          <w:sz w:val="24"/>
          <w:lang w:val="es-ES"/>
        </w:rPr>
        <w:t xml:space="preserve"> son tos y fiebre, luego los síntomas del tracto respiratorio superior como la </w:t>
      </w:r>
      <w:proofErr w:type="spellStart"/>
      <w:r>
        <w:rPr>
          <w:rFonts w:ascii="Arial" w:eastAsia="Arial" w:hAnsi="Arial"/>
          <w:sz w:val="24"/>
          <w:lang w:val="es-ES"/>
        </w:rPr>
        <w:t>rinorrea</w:t>
      </w:r>
      <w:proofErr w:type="spellEnd"/>
      <w:r>
        <w:rPr>
          <w:rFonts w:ascii="Arial" w:eastAsia="Arial" w:hAnsi="Arial"/>
          <w:sz w:val="24"/>
          <w:lang w:val="es-ES"/>
        </w:rPr>
        <w:t xml:space="preserve"> y </w:t>
      </w:r>
      <w:proofErr w:type="spellStart"/>
      <w:r>
        <w:rPr>
          <w:rFonts w:ascii="Arial" w:eastAsia="Arial" w:hAnsi="Arial"/>
          <w:sz w:val="24"/>
          <w:lang w:val="es-ES"/>
        </w:rPr>
        <w:t>odinofagia</w:t>
      </w:r>
      <w:proofErr w:type="spellEnd"/>
      <w:r>
        <w:rPr>
          <w:rFonts w:ascii="Arial" w:eastAsia="Arial" w:hAnsi="Arial"/>
          <w:sz w:val="24"/>
          <w:lang w:val="es-ES"/>
        </w:rPr>
        <w:t>. No es raro que los niños tengan diarrea y / o vómitos (alrededor del 10% de los casos), incluso en algunos casos como sus únicas características de presentación.</w:t>
      </w:r>
      <w:r>
        <w:rPr>
          <w:rFonts w:ascii="Arial" w:eastAsia="Arial" w:hAnsi="Arial"/>
          <w:sz w:val="24"/>
          <w:vertAlign w:val="superscript"/>
          <w:lang w:val="es-ES"/>
        </w:rPr>
        <w:t>1</w:t>
      </w:r>
    </w:p>
    <w:p w:rsidR="001E0601" w:rsidRDefault="00567E09">
      <w:pPr>
        <w:spacing w:after="160" w:line="259" w:lineRule="auto"/>
      </w:pPr>
      <w:r>
        <w:rPr>
          <w:rFonts w:ascii="Arial" w:eastAsia="Arial" w:hAnsi="Arial"/>
          <w:sz w:val="24"/>
          <w:lang w:val="es-ES"/>
        </w:rPr>
        <w:t xml:space="preserve"> En base a lo publicado hasta el momento en la literatura las </w:t>
      </w:r>
      <w:r>
        <w:rPr>
          <w:rFonts w:ascii="Arial" w:eastAsia="Arial" w:hAnsi="Arial"/>
          <w:b/>
          <w:bCs/>
          <w:sz w:val="24"/>
          <w:lang w:val="es-ES"/>
        </w:rPr>
        <w:t>manifestaciones cutáneas</w:t>
      </w:r>
      <w:r>
        <w:rPr>
          <w:rFonts w:ascii="Arial" w:eastAsia="Arial" w:hAnsi="Arial"/>
          <w:sz w:val="24"/>
          <w:vertAlign w:val="superscript"/>
          <w:lang w:val="es-ES"/>
        </w:rPr>
        <w:t xml:space="preserve">16 </w:t>
      </w:r>
      <w:r>
        <w:rPr>
          <w:rFonts w:ascii="Arial" w:eastAsia="Arial" w:hAnsi="Arial"/>
          <w:sz w:val="24"/>
          <w:lang w:val="es-ES"/>
        </w:rPr>
        <w:t>de la infección por coronavirus pueden ser similares a las producidas por otros virus comunes</w:t>
      </w:r>
      <w:r>
        <w:rPr>
          <w:rFonts w:ascii="Arial" w:eastAsia="Arial" w:hAnsi="Arial"/>
          <w:color w:val="FF5429"/>
          <w:sz w:val="24"/>
          <w:lang w:val="es-ES"/>
        </w:rPr>
        <w:t xml:space="preserve"> </w:t>
      </w:r>
      <w:r>
        <w:rPr>
          <w:rFonts w:ascii="Arial" w:eastAsia="Arial" w:hAnsi="Arial"/>
          <w:sz w:val="24"/>
          <w:vertAlign w:val="superscript"/>
          <w:lang w:val="es-ES"/>
        </w:rPr>
        <w:t>17</w:t>
      </w:r>
      <w:r>
        <w:rPr>
          <w:rFonts w:ascii="Arial" w:eastAsia="Arial" w:hAnsi="Arial"/>
          <w:color w:val="FF5429"/>
          <w:sz w:val="24"/>
          <w:lang w:val="es-ES"/>
        </w:rPr>
        <w:t xml:space="preserve"> </w:t>
      </w:r>
      <w:r w:rsidR="00CE5DB7">
        <w:rPr>
          <w:rFonts w:ascii="Arial" w:eastAsia="Arial" w:hAnsi="Arial"/>
          <w:sz w:val="24"/>
          <w:lang w:val="es-ES"/>
        </w:rPr>
        <w:t>.</w:t>
      </w:r>
      <w:r>
        <w:rPr>
          <w:rFonts w:ascii="Arial" w:eastAsia="Arial" w:hAnsi="Arial"/>
          <w:sz w:val="24"/>
          <w:lang w:val="es-ES"/>
        </w:rPr>
        <w:t xml:space="preserve">Sumadas a estas descripciones de exantemas propios de la fase aguda comunes en distintas infecciones virales se han descripto las lesiones </w:t>
      </w:r>
      <w:proofErr w:type="spellStart"/>
      <w:r>
        <w:rPr>
          <w:rFonts w:ascii="Arial" w:eastAsia="Arial" w:hAnsi="Arial"/>
          <w:sz w:val="24"/>
          <w:lang w:val="es-ES"/>
        </w:rPr>
        <w:t>acrales</w:t>
      </w:r>
      <w:proofErr w:type="spellEnd"/>
      <w:r>
        <w:rPr>
          <w:rFonts w:ascii="Arial" w:eastAsia="Arial" w:hAnsi="Arial"/>
          <w:sz w:val="24"/>
          <w:lang w:val="es-ES"/>
        </w:rPr>
        <w:t xml:space="preserve"> en niños y jóvenes asintomáticos que podrían corresponder a manifestaciones tardías de fenómenos inflamatorios en la fase de respuesta inmune más temprana de la enfermedad </w:t>
      </w:r>
      <w:r>
        <w:rPr>
          <w:rFonts w:ascii="Arial" w:eastAsia="Arial" w:hAnsi="Arial"/>
          <w:sz w:val="24"/>
          <w:vertAlign w:val="superscript"/>
          <w:lang w:val="es-ES"/>
        </w:rPr>
        <w:t xml:space="preserve">18,19 </w:t>
      </w:r>
      <w:r>
        <w:rPr>
          <w:rFonts w:ascii="Arial" w:eastAsia="Arial" w:hAnsi="Arial"/>
          <w:sz w:val="24"/>
          <w:lang w:val="es-ES"/>
        </w:rPr>
        <w:t xml:space="preserve">Sugerimos que las lesiones </w:t>
      </w:r>
      <w:proofErr w:type="spellStart"/>
      <w:r>
        <w:rPr>
          <w:rFonts w:ascii="Arial" w:eastAsia="Arial" w:hAnsi="Arial"/>
          <w:sz w:val="24"/>
          <w:lang w:val="es-ES"/>
        </w:rPr>
        <w:t>acrales</w:t>
      </w:r>
      <w:proofErr w:type="spellEnd"/>
      <w:r>
        <w:rPr>
          <w:rFonts w:ascii="Arial" w:eastAsia="Arial" w:hAnsi="Arial"/>
          <w:sz w:val="24"/>
          <w:lang w:val="es-ES"/>
        </w:rPr>
        <w:t xml:space="preserve"> </w:t>
      </w:r>
      <w:proofErr w:type="spellStart"/>
      <w:r>
        <w:rPr>
          <w:rFonts w:ascii="Arial" w:eastAsia="Arial" w:hAnsi="Arial"/>
          <w:sz w:val="24"/>
          <w:lang w:val="es-ES"/>
        </w:rPr>
        <w:t>pseudo-sabañon</w:t>
      </w:r>
      <w:proofErr w:type="spellEnd"/>
      <w:r>
        <w:rPr>
          <w:rFonts w:ascii="Arial" w:eastAsia="Arial" w:hAnsi="Arial"/>
          <w:sz w:val="24"/>
          <w:lang w:val="es-ES"/>
        </w:rPr>
        <w:t xml:space="preserve"> y las vesiculares se consideren como posibles indicadores de enfermedad aumentando la sospecha de infección. El resto de las lesiones pueden deberse a múltiples causas o son poco frecuentes de observar lo que dificulta su uso en el diagnóstico clínico de la enfermedad, pero pueden ser de gran ayuda en la sospecha clínica y detección de casos con fines epidemiológicos </w:t>
      </w:r>
      <w:proofErr w:type="gramStart"/>
      <w:r>
        <w:rPr>
          <w:rFonts w:ascii="Arial" w:eastAsia="Arial" w:hAnsi="Arial"/>
          <w:sz w:val="24"/>
          <w:vertAlign w:val="superscript"/>
          <w:lang w:val="es-ES"/>
        </w:rPr>
        <w:t xml:space="preserve">20 </w:t>
      </w:r>
      <w:r>
        <w:rPr>
          <w:rFonts w:ascii="Arial" w:eastAsia="Arial" w:hAnsi="Arial"/>
          <w:sz w:val="24"/>
          <w:lang w:val="es-ES"/>
        </w:rPr>
        <w:t>.</w:t>
      </w:r>
      <w:proofErr w:type="gramEnd"/>
      <w:r>
        <w:rPr>
          <w:rFonts w:ascii="Arial" w:eastAsia="Arial" w:hAnsi="Arial"/>
          <w:sz w:val="24"/>
          <w:lang w:val="es-ES"/>
        </w:rPr>
        <w:t xml:space="preserve"> Por otro lado, recientemente se están publicando casos de niños que desarrollan Enfermedad Kawasaki-</w:t>
      </w:r>
      <w:proofErr w:type="spellStart"/>
      <w:r>
        <w:rPr>
          <w:rFonts w:ascii="Arial" w:eastAsia="Arial" w:hAnsi="Arial"/>
          <w:sz w:val="24"/>
          <w:lang w:val="es-ES"/>
        </w:rPr>
        <w:t>like</w:t>
      </w:r>
      <w:proofErr w:type="spellEnd"/>
      <w:r>
        <w:rPr>
          <w:rFonts w:ascii="Arial" w:eastAsia="Arial" w:hAnsi="Arial"/>
          <w:sz w:val="24"/>
          <w:lang w:val="es-ES"/>
        </w:rPr>
        <w:t xml:space="preserve"> con CoVid-19 positivo </w:t>
      </w:r>
      <w:r>
        <w:rPr>
          <w:rFonts w:ascii="Arial" w:eastAsia="Arial" w:hAnsi="Arial"/>
          <w:sz w:val="24"/>
          <w:vertAlign w:val="superscript"/>
          <w:lang w:val="es-ES"/>
        </w:rPr>
        <w:t>21</w:t>
      </w:r>
      <w:r>
        <w:rPr>
          <w:rFonts w:ascii="Arial" w:eastAsia="Arial" w:hAnsi="Arial"/>
          <w:sz w:val="24"/>
          <w:lang w:val="es-ES"/>
        </w:rPr>
        <w:t xml:space="preserve">. El cuadro respiratorio y/o gastrointestinal evoluciona con fiebre, </w:t>
      </w:r>
      <w:proofErr w:type="spellStart"/>
      <w:r>
        <w:rPr>
          <w:rFonts w:ascii="Arial" w:eastAsia="Arial" w:hAnsi="Arial"/>
          <w:sz w:val="24"/>
          <w:lang w:val="es-ES"/>
        </w:rPr>
        <w:t>eritrodermia</w:t>
      </w:r>
      <w:proofErr w:type="spellEnd"/>
      <w:r>
        <w:rPr>
          <w:rFonts w:ascii="Arial" w:eastAsia="Arial" w:hAnsi="Arial"/>
          <w:sz w:val="24"/>
          <w:lang w:val="es-ES"/>
        </w:rPr>
        <w:t xml:space="preserve">, inyección conjuntival y mal estado general </w:t>
      </w:r>
      <w:r>
        <w:rPr>
          <w:rFonts w:ascii="Arial" w:eastAsia="Arial" w:hAnsi="Arial"/>
          <w:sz w:val="24"/>
          <w:vertAlign w:val="superscript"/>
          <w:lang w:val="es-ES"/>
        </w:rPr>
        <w:t>22</w:t>
      </w:r>
      <w:r>
        <w:rPr>
          <w:rFonts w:ascii="Arial" w:eastAsia="Arial" w:hAnsi="Arial"/>
          <w:sz w:val="24"/>
          <w:lang w:val="es-ES"/>
        </w:rPr>
        <w:t xml:space="preserve">. En estos casos se especula que la infección viral por COVID-19 podría actuar como desencadenante de la enfermedad de Kawasaki. En abril de 2020, surgieron informes del Reino Unido de una presentación en niños similar a la </w:t>
      </w:r>
      <w:r>
        <w:rPr>
          <w:rFonts w:ascii="Arial" w:eastAsia="Arial" w:hAnsi="Arial"/>
          <w:b/>
          <w:bCs/>
          <w:sz w:val="24"/>
          <w:lang w:val="es-ES"/>
        </w:rPr>
        <w:t>Enfermedad de Kawasaki</w:t>
      </w:r>
      <w:r>
        <w:rPr>
          <w:rFonts w:ascii="Arial" w:eastAsia="Arial" w:hAnsi="Arial"/>
          <w:sz w:val="24"/>
          <w:lang w:val="es-ES"/>
        </w:rPr>
        <w:t xml:space="preserve"> incompleta asociada a un síndrome de shock tóxico, apareciendo luego informes similares en otros países. El síndrome se ha denominado Síndrome Inflamatorio </w:t>
      </w:r>
      <w:proofErr w:type="spellStart"/>
      <w:r>
        <w:rPr>
          <w:rFonts w:ascii="Arial" w:eastAsia="Arial" w:hAnsi="Arial"/>
          <w:sz w:val="24"/>
          <w:lang w:val="es-ES"/>
        </w:rPr>
        <w:t>Multisistémico</w:t>
      </w:r>
      <w:proofErr w:type="spellEnd"/>
      <w:r>
        <w:rPr>
          <w:rFonts w:ascii="Arial" w:eastAsia="Arial" w:hAnsi="Arial"/>
          <w:sz w:val="24"/>
          <w:lang w:val="es-ES"/>
        </w:rPr>
        <w:t xml:space="preserve"> Pediátrico (PMIS por sus siglas en inglés). Si bien su incidencia es desconocida, esta parece ser mayor en niños de raza negra e hispana y menor en asiáticos (al contrario de lo que ocurre en la enfermedad de Kawasaki clásica).</w:t>
      </w:r>
      <w:r>
        <w:rPr>
          <w:rFonts w:ascii="Arial" w:eastAsia="Arial" w:hAnsi="Arial"/>
          <w:sz w:val="24"/>
          <w:vertAlign w:val="superscript"/>
          <w:lang w:val="es-ES"/>
        </w:rPr>
        <w:t>23</w:t>
      </w:r>
      <w:proofErr w:type="gramStart"/>
      <w:r>
        <w:rPr>
          <w:rFonts w:ascii="Arial" w:eastAsia="Arial" w:hAnsi="Arial"/>
          <w:sz w:val="24"/>
          <w:vertAlign w:val="superscript"/>
          <w:lang w:val="es-ES"/>
        </w:rPr>
        <w:t>,24</w:t>
      </w:r>
      <w:proofErr w:type="gramEnd"/>
    </w:p>
    <w:p w:rsidR="001E0601" w:rsidRDefault="00567E09">
      <w:pPr>
        <w:spacing w:after="160" w:line="259" w:lineRule="auto"/>
      </w:pPr>
      <w:r>
        <w:rPr>
          <w:rFonts w:ascii="Arial" w:eastAsia="Arial" w:hAnsi="Arial"/>
          <w:sz w:val="24"/>
          <w:lang w:val="es-ES"/>
        </w:rPr>
        <w:t xml:space="preserve">De modo que la COVID-19 </w:t>
      </w:r>
      <w:proofErr w:type="spellStart"/>
      <w:r>
        <w:rPr>
          <w:rFonts w:ascii="Arial" w:eastAsia="Arial" w:hAnsi="Arial"/>
          <w:sz w:val="24"/>
          <w:lang w:val="es-ES"/>
        </w:rPr>
        <w:t>tambiém</w:t>
      </w:r>
      <w:proofErr w:type="spellEnd"/>
      <w:r>
        <w:rPr>
          <w:rFonts w:ascii="Arial" w:eastAsia="Arial" w:hAnsi="Arial"/>
          <w:sz w:val="24"/>
          <w:lang w:val="es-ES"/>
        </w:rPr>
        <w:t xml:space="preserve"> puede afectar gravemente a los niños, aunque con menor frecuencia. Los </w:t>
      </w:r>
      <w:r>
        <w:rPr>
          <w:rFonts w:ascii="Arial" w:eastAsia="Arial" w:hAnsi="Arial"/>
          <w:b/>
          <w:bCs/>
          <w:sz w:val="24"/>
          <w:lang w:val="es-ES"/>
        </w:rPr>
        <w:t>factores de riesgo</w:t>
      </w:r>
      <w:r>
        <w:rPr>
          <w:rFonts w:ascii="Arial" w:eastAsia="Arial" w:hAnsi="Arial"/>
          <w:sz w:val="24"/>
          <w:lang w:val="es-ES"/>
        </w:rPr>
        <w:t xml:space="preserve"> para que esto ocurra son principalmente la preexistencia de comorbilidades significativas. En un estudio de 46 unidades de terapia intensiva  pediátricas en Norte América, reveló que de los 48 niños, 40 presentaban comorbilidades significativas (83%) como cardiopatías, encefalopatías, </w:t>
      </w:r>
      <w:proofErr w:type="spellStart"/>
      <w:r>
        <w:rPr>
          <w:rFonts w:ascii="Arial" w:eastAsia="Arial" w:hAnsi="Arial"/>
          <w:sz w:val="24"/>
          <w:lang w:val="es-ES"/>
        </w:rPr>
        <w:t>postransplante</w:t>
      </w:r>
      <w:proofErr w:type="spellEnd"/>
      <w:r>
        <w:rPr>
          <w:rFonts w:ascii="Arial" w:eastAsia="Arial" w:hAnsi="Arial"/>
          <w:sz w:val="24"/>
          <w:lang w:val="es-ES"/>
        </w:rPr>
        <w:t xml:space="preserve"> y </w:t>
      </w:r>
      <w:proofErr w:type="spellStart"/>
      <w:r>
        <w:rPr>
          <w:rFonts w:ascii="Arial" w:eastAsia="Arial" w:hAnsi="Arial"/>
          <w:sz w:val="24"/>
          <w:lang w:val="es-ES"/>
        </w:rPr>
        <w:t>traqueostomía</w:t>
      </w:r>
      <w:proofErr w:type="spellEnd"/>
      <w:r>
        <w:rPr>
          <w:rFonts w:ascii="Arial" w:eastAsia="Arial" w:hAnsi="Arial"/>
          <w:sz w:val="24"/>
          <w:lang w:val="es-ES"/>
        </w:rPr>
        <w:t xml:space="preserve">.  A diferencia de los adultos cuyas comorbilidades se relacionan con el estilo de vida, las de los pacientes pediátricos están relacionadas con afecciones congénitas. Salvo la obesidad que se encontró en el 20.5% de los mayores de 6 años (en adultos hospitalizados: 48%) </w:t>
      </w:r>
      <w:r>
        <w:rPr>
          <w:rFonts w:ascii="Arial" w:eastAsia="Arial" w:hAnsi="Arial"/>
          <w:sz w:val="24"/>
          <w:vertAlign w:val="superscript"/>
          <w:lang w:val="es-ES"/>
        </w:rPr>
        <w:t>25</w:t>
      </w:r>
      <w:r>
        <w:rPr>
          <w:rFonts w:ascii="Arial" w:eastAsia="Arial" w:hAnsi="Arial"/>
          <w:sz w:val="24"/>
          <w:lang w:val="es-ES"/>
        </w:rPr>
        <w:t xml:space="preserve">  Según los documentos de consenso de diferentes sociedades españolas de pediatría se </w:t>
      </w:r>
      <w:r w:rsidR="00CE5DB7">
        <w:rPr>
          <w:rFonts w:ascii="Arial" w:eastAsia="Arial" w:hAnsi="Arial"/>
          <w:sz w:val="24"/>
          <w:lang w:val="es-ES"/>
        </w:rPr>
        <w:t>consideran factores de riesgo: l</w:t>
      </w:r>
      <w:r>
        <w:rPr>
          <w:rFonts w:ascii="Arial" w:eastAsia="Arial" w:hAnsi="Arial"/>
          <w:sz w:val="24"/>
          <w:lang w:val="es-ES"/>
        </w:rPr>
        <w:t>a inmunodepresión, las cardiopatías congénitas con repercusión hemodinámica, las patologías respiratorias crónicas, y otros como diálisis, diabetes tipo 1 con mal control metabólico, encefalopatías y errores congénitos del metabolismo.</w:t>
      </w:r>
      <w:r>
        <w:rPr>
          <w:rFonts w:ascii="Arial" w:eastAsia="Arial" w:hAnsi="Arial"/>
          <w:sz w:val="24"/>
          <w:vertAlign w:val="superscript"/>
          <w:lang w:val="es-ES"/>
        </w:rPr>
        <w:t>26</w:t>
      </w:r>
    </w:p>
    <w:p w:rsidR="001E0601" w:rsidRDefault="00567E09">
      <w:pPr>
        <w:spacing w:after="160" w:line="259" w:lineRule="auto"/>
      </w:pPr>
      <w:r>
        <w:rPr>
          <w:rFonts w:ascii="Arial" w:eastAsia="Arial" w:hAnsi="Arial"/>
          <w:sz w:val="24"/>
          <w:lang w:val="es-ES"/>
        </w:rPr>
        <w:t xml:space="preserve">Los </w:t>
      </w:r>
      <w:r>
        <w:rPr>
          <w:rFonts w:ascii="Arial" w:eastAsia="Arial" w:hAnsi="Arial"/>
          <w:b/>
          <w:bCs/>
          <w:sz w:val="24"/>
          <w:lang w:val="es-ES"/>
        </w:rPr>
        <w:t>recién nacidos</w:t>
      </w:r>
      <w:r>
        <w:rPr>
          <w:rFonts w:ascii="Arial" w:eastAsia="Arial" w:hAnsi="Arial"/>
          <w:sz w:val="24"/>
          <w:lang w:val="es-ES"/>
        </w:rPr>
        <w:t xml:space="preserve"> son un factor de preocupación. En una revisión sistemática de 20 publicaciones que recopiló datos de  222 recién nacidos cuyas madres se sospecharon o confirmaron que eran SARS-CoV-2 positivas perinatalmente,13 fueron reportados como positivo para SARS-CoV-2. La mayoría de los estudios informaron síntomas leves o nulos y ningún resultado perinatal adverso. Dos artículos reportaron casos clínicos moderados o severos entre los recién nacidos que dieron positivo. Los estudios que probaron la leche materna informaron resultados negativos. Dada la escasez de estudios en este momento, la transmisión vertical no puede ser confirmada o negada. La literatura actual no respalda la suspensión  de la lactancia materna ni la separación de madres y recién nacidos.</w:t>
      </w:r>
      <w:r>
        <w:rPr>
          <w:rFonts w:ascii="Arial" w:eastAsia="Arial" w:hAnsi="Arial"/>
          <w:sz w:val="24"/>
          <w:vertAlign w:val="superscript"/>
          <w:lang w:val="es-ES"/>
        </w:rPr>
        <w:t xml:space="preserve">27 </w:t>
      </w:r>
      <w:r>
        <w:rPr>
          <w:rFonts w:ascii="Arial" w:eastAsia="Arial" w:hAnsi="Arial"/>
          <w:sz w:val="24"/>
          <w:lang w:val="es-ES"/>
        </w:rPr>
        <w:t xml:space="preserve"> Las recomendaciones del Ministerio de Salud de Argentina van en este mismo sentido.</w:t>
      </w:r>
      <w:r>
        <w:rPr>
          <w:rFonts w:ascii="Arial" w:eastAsia="Arial" w:hAnsi="Arial"/>
          <w:sz w:val="24"/>
          <w:vertAlign w:val="superscript"/>
          <w:lang w:val="es-ES"/>
        </w:rPr>
        <w:t xml:space="preserve">28 </w:t>
      </w:r>
      <w:r>
        <w:rPr>
          <w:rFonts w:ascii="Arial" w:eastAsia="Arial" w:hAnsi="Arial"/>
          <w:sz w:val="24"/>
          <w:lang w:val="es-ES"/>
        </w:rPr>
        <w:t>Debemos recordar que si bien la vacuna BCG no está actualmente recomendada como prevención de la COVID-19,</w:t>
      </w:r>
      <w:r>
        <w:rPr>
          <w:rFonts w:ascii="Arial" w:eastAsia="Arial" w:hAnsi="Arial"/>
          <w:sz w:val="24"/>
          <w:vertAlign w:val="superscript"/>
          <w:lang w:val="es-ES"/>
        </w:rPr>
        <w:t>29,</w:t>
      </w:r>
      <w:r>
        <w:rPr>
          <w:rFonts w:ascii="Arial" w:eastAsia="Arial" w:hAnsi="Arial"/>
          <w:sz w:val="24"/>
          <w:lang w:val="es-ES"/>
        </w:rPr>
        <w:t xml:space="preserve"> </w:t>
      </w:r>
      <w:r>
        <w:rPr>
          <w:rFonts w:ascii="Arial" w:eastAsia="Arial" w:hAnsi="Arial"/>
          <w:sz w:val="24"/>
          <w:vertAlign w:val="superscript"/>
          <w:lang w:val="es-ES"/>
        </w:rPr>
        <w:t xml:space="preserve">30 </w:t>
      </w:r>
      <w:r>
        <w:rPr>
          <w:rFonts w:ascii="Arial" w:eastAsia="Arial" w:hAnsi="Arial"/>
          <w:sz w:val="24"/>
          <w:lang w:val="es-ES"/>
        </w:rPr>
        <w:t xml:space="preserve">es indispensable que el recién nacido reciba la vacuna BCG en lo posible antes del alta. </w:t>
      </w:r>
      <w:r>
        <w:rPr>
          <w:rFonts w:ascii="Arial" w:eastAsia="Arial" w:hAnsi="Arial"/>
          <w:sz w:val="24"/>
          <w:vertAlign w:val="superscript"/>
          <w:lang w:val="es-ES"/>
        </w:rPr>
        <w:t>31,32</w:t>
      </w:r>
      <w:r>
        <w:rPr>
          <w:rFonts w:ascii="Arial" w:eastAsia="Arial" w:hAnsi="Arial"/>
          <w:sz w:val="24"/>
          <w:lang w:val="es-ES"/>
        </w:rPr>
        <w:t xml:space="preserve"> </w:t>
      </w:r>
    </w:p>
    <w:p w:rsidR="001E0601" w:rsidRDefault="00567E09">
      <w:pPr>
        <w:spacing w:after="160" w:line="259" w:lineRule="exact"/>
        <w:rPr>
          <w:rFonts w:ascii="Arial" w:hAnsi="Arial"/>
          <w:sz w:val="24"/>
        </w:rPr>
      </w:pPr>
      <w:r>
        <w:rPr>
          <w:rFonts w:ascii="Arial" w:eastAsia="Arial" w:hAnsi="Arial"/>
          <w:sz w:val="24"/>
          <w:lang w:val="es-ES"/>
        </w:rPr>
        <w:t xml:space="preserve">El </w:t>
      </w:r>
      <w:r>
        <w:rPr>
          <w:rFonts w:ascii="Arial" w:eastAsia="Arial" w:hAnsi="Arial"/>
          <w:b/>
          <w:bCs/>
          <w:sz w:val="24"/>
          <w:lang w:val="es-ES"/>
        </w:rPr>
        <w:t xml:space="preserve">laboratorio </w:t>
      </w:r>
      <w:r>
        <w:rPr>
          <w:rFonts w:ascii="Arial" w:eastAsia="Arial" w:hAnsi="Arial"/>
          <w:sz w:val="24"/>
          <w:lang w:val="es-ES"/>
        </w:rPr>
        <w:t xml:space="preserve">muestra características ligeramente diferentes a los adultos. La </w:t>
      </w:r>
      <w:proofErr w:type="spellStart"/>
      <w:r>
        <w:rPr>
          <w:rFonts w:ascii="Arial" w:eastAsia="Arial" w:hAnsi="Arial"/>
          <w:sz w:val="24"/>
          <w:lang w:val="es-ES"/>
        </w:rPr>
        <w:t>linfocitopenia</w:t>
      </w:r>
      <w:proofErr w:type="spellEnd"/>
      <w:r>
        <w:rPr>
          <w:rFonts w:ascii="Arial" w:eastAsia="Arial" w:hAnsi="Arial"/>
          <w:sz w:val="24"/>
          <w:lang w:val="es-ES"/>
        </w:rPr>
        <w:t xml:space="preserve"> es relativamente rara en niños, y la mayoría tiene recuento normal o levemente elevado de linfocitos. Los marcadores inflamatorios como la PCR y la </w:t>
      </w:r>
      <w:proofErr w:type="spellStart"/>
      <w:r>
        <w:rPr>
          <w:rFonts w:ascii="Arial" w:eastAsia="Arial" w:hAnsi="Arial"/>
          <w:sz w:val="24"/>
          <w:lang w:val="es-ES"/>
        </w:rPr>
        <w:t>procalcitonina</w:t>
      </w:r>
      <w:proofErr w:type="spellEnd"/>
      <w:r>
        <w:rPr>
          <w:rFonts w:ascii="Arial" w:eastAsia="Arial" w:hAnsi="Arial"/>
          <w:sz w:val="24"/>
          <w:lang w:val="es-ES"/>
        </w:rPr>
        <w:t xml:space="preserve"> a menudo aumentan, pero solo muy levemente. Las elevaciones leves en las transaminasas hepáticas parecen ser comunes.</w:t>
      </w:r>
      <w:r>
        <w:rPr>
          <w:rFonts w:ascii="Arial" w:eastAsia="Arial" w:hAnsi="Arial"/>
          <w:sz w:val="24"/>
          <w:vertAlign w:val="superscript"/>
          <w:lang w:val="es-ES"/>
        </w:rPr>
        <w:t xml:space="preserve">1 </w:t>
      </w:r>
    </w:p>
    <w:p w:rsidR="001E0601" w:rsidRDefault="00567E09">
      <w:pPr>
        <w:spacing w:after="160" w:line="259" w:lineRule="exact"/>
      </w:pPr>
      <w:r>
        <w:rPr>
          <w:rFonts w:ascii="Arial" w:eastAsia="Arial" w:hAnsi="Arial"/>
          <w:sz w:val="24"/>
          <w:lang w:val="es-ES"/>
        </w:rPr>
        <w:t xml:space="preserve">Las </w:t>
      </w:r>
      <w:r>
        <w:rPr>
          <w:rFonts w:ascii="Arial" w:eastAsia="Arial" w:hAnsi="Arial"/>
          <w:b/>
          <w:bCs/>
          <w:sz w:val="24"/>
          <w:lang w:val="es-ES"/>
        </w:rPr>
        <w:t xml:space="preserve">características radiográficas </w:t>
      </w:r>
      <w:r>
        <w:rPr>
          <w:rFonts w:ascii="Arial" w:eastAsia="Arial" w:hAnsi="Arial"/>
          <w:sz w:val="24"/>
          <w:lang w:val="es-ES"/>
        </w:rPr>
        <w:t>en los niños también son algo diferentes a sus homólogos adultos. Las radiografías de tórax suelen ser normales, y muchas tomografías computariza</w:t>
      </w:r>
      <w:r w:rsidR="00CE5DB7">
        <w:rPr>
          <w:rFonts w:ascii="Arial" w:eastAsia="Arial" w:hAnsi="Arial"/>
          <w:sz w:val="24"/>
          <w:lang w:val="es-ES"/>
        </w:rPr>
        <w:t>das de tórax también. Cuando</w:t>
      </w:r>
      <w:r>
        <w:rPr>
          <w:rFonts w:ascii="Arial" w:eastAsia="Arial" w:hAnsi="Arial"/>
          <w:sz w:val="24"/>
          <w:lang w:val="es-ES"/>
        </w:rPr>
        <w:t xml:space="preserve"> se encuentran anomalías</w:t>
      </w:r>
      <w:r w:rsidR="00CE5DB7">
        <w:rPr>
          <w:rFonts w:ascii="Arial" w:eastAsia="Arial" w:hAnsi="Arial"/>
          <w:sz w:val="24"/>
          <w:lang w:val="es-ES"/>
        </w:rPr>
        <w:t xml:space="preserve">, </w:t>
      </w:r>
      <w:proofErr w:type="gramStart"/>
      <w:r w:rsidR="00CE5DB7">
        <w:rPr>
          <w:rFonts w:ascii="Arial" w:eastAsia="Arial" w:hAnsi="Arial"/>
          <w:sz w:val="24"/>
          <w:lang w:val="es-ES"/>
        </w:rPr>
        <w:t>é</w:t>
      </w:r>
      <w:r>
        <w:rPr>
          <w:rFonts w:ascii="Arial" w:eastAsia="Arial" w:hAnsi="Arial"/>
          <w:sz w:val="24"/>
          <w:lang w:val="es-ES"/>
        </w:rPr>
        <w:t>stas</w:t>
      </w:r>
      <w:proofErr w:type="gramEnd"/>
      <w:r>
        <w:rPr>
          <w:rFonts w:ascii="Arial" w:eastAsia="Arial" w:hAnsi="Arial"/>
          <w:sz w:val="24"/>
          <w:lang w:val="es-ES"/>
        </w:rPr>
        <w:t xml:space="preserve">  son a menudo menos graves, sin embargo, un número razonable de niños tiene neumonía bilateral. Se pueden encontrar cambios en la tomografía incluso en niños asintomáticos. Las características comunes en las tomografías computarizadas anormales incluyen  vidrio esmerilado bilateral leve, pero con menos predominio periférico que el que se informa en adultos.</w:t>
      </w:r>
      <w:r>
        <w:rPr>
          <w:rFonts w:ascii="Arial" w:eastAsia="Arial" w:hAnsi="Arial"/>
          <w:sz w:val="24"/>
          <w:vertAlign w:val="superscript"/>
          <w:lang w:val="es-ES"/>
        </w:rPr>
        <w:t>1</w:t>
      </w:r>
    </w:p>
    <w:p w:rsidR="001E0601" w:rsidRDefault="00567E09">
      <w:pPr>
        <w:spacing w:after="160" w:line="259" w:lineRule="exact"/>
      </w:pPr>
      <w:r>
        <w:rPr>
          <w:rFonts w:ascii="Arial" w:eastAsia="Arial" w:hAnsi="Arial"/>
          <w:sz w:val="24"/>
          <w:lang w:val="es-ES"/>
        </w:rPr>
        <w:t xml:space="preserve">En función de la nueva evidencia científica disponible, y en virtud del escaso impacto clínico de los </w:t>
      </w:r>
      <w:r>
        <w:rPr>
          <w:rFonts w:ascii="Arial" w:eastAsia="Arial" w:hAnsi="Arial"/>
          <w:b/>
          <w:bCs/>
          <w:sz w:val="24"/>
          <w:lang w:val="es-ES"/>
        </w:rPr>
        <w:t>tratamientos</w:t>
      </w:r>
      <w:r>
        <w:rPr>
          <w:rFonts w:ascii="Arial" w:eastAsia="Arial" w:hAnsi="Arial"/>
          <w:sz w:val="24"/>
          <w:lang w:val="es-ES"/>
        </w:rPr>
        <w:t xml:space="preserve"> previamente recomendados, las nuevas (29 de mayo de 2020) recomendaciones  del ministerio de salud indican que el tratamiento de las complicaciones y las medidas de soporte oportuno son las intervenciones con mayor impacto beneficioso en la morbimortalidad. No hay evidencia hasta la fecha que permita emitir una recomendación  a favor o en contra del uso de tratamiento </w:t>
      </w:r>
      <w:proofErr w:type="spellStart"/>
      <w:r>
        <w:rPr>
          <w:rFonts w:ascii="Arial" w:eastAsia="Arial" w:hAnsi="Arial"/>
          <w:sz w:val="24"/>
          <w:lang w:val="es-ES"/>
        </w:rPr>
        <w:t>inmunomodulador</w:t>
      </w:r>
      <w:proofErr w:type="spellEnd"/>
      <w:r>
        <w:rPr>
          <w:rFonts w:ascii="Arial" w:eastAsia="Arial" w:hAnsi="Arial"/>
          <w:sz w:val="24"/>
          <w:lang w:val="es-ES"/>
        </w:rPr>
        <w:t xml:space="preserve"> excepto en el contexto de ensayos clínicos. Esto se aplica para niños y adultos.</w:t>
      </w:r>
      <w:r>
        <w:rPr>
          <w:rFonts w:ascii="Arial" w:eastAsia="Arial" w:hAnsi="Arial"/>
          <w:sz w:val="24"/>
          <w:vertAlign w:val="superscript"/>
          <w:lang w:val="es-ES"/>
        </w:rPr>
        <w:t>33</w:t>
      </w:r>
      <w:r>
        <w:rPr>
          <w:rFonts w:ascii="Arial" w:eastAsia="Arial" w:hAnsi="Arial"/>
          <w:sz w:val="24"/>
          <w:lang w:val="es-ES"/>
        </w:rPr>
        <w:t xml:space="preserve">La literatura internacional es coincidente con estas </w:t>
      </w:r>
      <w:r w:rsidR="00CE5DB7">
        <w:rPr>
          <w:rFonts w:ascii="Arial" w:eastAsia="Arial" w:hAnsi="Arial"/>
          <w:sz w:val="24"/>
          <w:lang w:val="es-ES"/>
        </w:rPr>
        <w:t>r</w:t>
      </w:r>
      <w:r>
        <w:rPr>
          <w:rFonts w:ascii="Arial" w:eastAsia="Arial" w:hAnsi="Arial"/>
          <w:sz w:val="24"/>
          <w:lang w:val="es-ES"/>
        </w:rPr>
        <w:t>ecomendaciones.</w:t>
      </w:r>
      <w:r>
        <w:rPr>
          <w:rFonts w:ascii="Arial" w:eastAsia="Arial" w:hAnsi="Arial"/>
          <w:sz w:val="24"/>
          <w:highlight w:val="yellow"/>
          <w:lang w:val="es-ES"/>
        </w:rPr>
        <w:t xml:space="preserve"> </w:t>
      </w:r>
      <w:r>
        <w:rPr>
          <w:rFonts w:ascii="Arial" w:eastAsia="Arial" w:hAnsi="Arial"/>
          <w:sz w:val="24"/>
          <w:vertAlign w:val="superscript"/>
          <w:lang w:val="es-ES"/>
        </w:rPr>
        <w:t>15,34</w:t>
      </w:r>
    </w:p>
    <w:p w:rsidR="001E0601" w:rsidRDefault="00567E09">
      <w:pPr>
        <w:spacing w:after="160" w:line="259" w:lineRule="exact"/>
      </w:pPr>
      <w:r>
        <w:rPr>
          <w:rFonts w:ascii="Arial" w:eastAsia="Arial" w:hAnsi="Arial"/>
          <w:sz w:val="24"/>
          <w:lang w:val="es-ES"/>
        </w:rPr>
        <w:t xml:space="preserve">Con respecto al </w:t>
      </w:r>
      <w:r>
        <w:rPr>
          <w:rFonts w:ascii="Arial" w:eastAsia="Arial" w:hAnsi="Arial"/>
          <w:b/>
          <w:bCs/>
          <w:sz w:val="24"/>
          <w:lang w:val="es-ES"/>
        </w:rPr>
        <w:t>uso de tapabocas o mascarillas faciales</w:t>
      </w:r>
      <w:r>
        <w:rPr>
          <w:rFonts w:ascii="Arial" w:eastAsia="Arial" w:hAnsi="Arial"/>
          <w:sz w:val="24"/>
          <w:lang w:val="es-ES"/>
        </w:rPr>
        <w:t xml:space="preserve"> en los niños debemos tener en cuenta ciertas consideraciones. Las máscaras podrían dificultar la inhalación y la exhalación para los niños menores de dos años dado que tienen vías respiratorias más pequeñas, tienen que trabajar más para absorber oxígeno a través de una máscara pudiendo </w:t>
      </w:r>
      <w:proofErr w:type="spellStart"/>
      <w:r>
        <w:rPr>
          <w:rFonts w:ascii="Arial" w:eastAsia="Arial" w:hAnsi="Arial"/>
          <w:sz w:val="24"/>
          <w:lang w:val="es-ES"/>
        </w:rPr>
        <w:t>reinhalar</w:t>
      </w:r>
      <w:proofErr w:type="spellEnd"/>
      <w:r>
        <w:rPr>
          <w:rFonts w:ascii="Arial" w:eastAsia="Arial" w:hAnsi="Arial"/>
          <w:sz w:val="24"/>
          <w:lang w:val="es-ES"/>
        </w:rPr>
        <w:t xml:space="preserve"> el dióxido de carbono espirado. Y si pueden advertir la dificultad para respirar, no pueden comunicarse fácilmente si tienen problemas para respirar y no pueden quitarse la máscara, lo que podría provocar asfixia. Por lo cual el empleo de mascarilla higiénica es recomendable recién a partir de los 3 años, según las recomendaciones de la Sociedad Argentina de Pediatría (otros países como España lo recomienda a partir de los 2 años) Es importante hacer partícipes a niños y adolescentes y transmitirles que ellos  también están contribuyendo a frenar esta pandemia. Ya que no solo es complicado que las usen adecuadamente sobre todo los menores de 5 años, sino que también porque para muchos niños, ver a sus padres y otras personas usando máscaras, puede ser desconcertante, ya que la capacidad de reconocer y leer caras es mucho más débil en los niños pequeños de lo que será en la adolescencia. La colocación de máscaras </w:t>
      </w:r>
      <w:proofErr w:type="spellStart"/>
      <w:r>
        <w:rPr>
          <w:rFonts w:ascii="Arial" w:eastAsia="Arial" w:hAnsi="Arial"/>
          <w:sz w:val="24"/>
          <w:lang w:val="es-ES"/>
        </w:rPr>
        <w:t>cubrebocas</w:t>
      </w:r>
      <w:proofErr w:type="spellEnd"/>
      <w:r>
        <w:rPr>
          <w:rFonts w:ascii="Arial" w:eastAsia="Arial" w:hAnsi="Arial"/>
          <w:sz w:val="24"/>
          <w:lang w:val="es-ES"/>
        </w:rPr>
        <w:t xml:space="preserve"> elimina para el niño parte de la información de la identidad, edad y emoción de las personas. Por lo cual se recomienda a los padres que al principio deberían ponerse y sacarse la máscara varias veces, para que el niño vea que todavía es su papá o mamá.</w:t>
      </w:r>
      <w:r>
        <w:rPr>
          <w:rFonts w:ascii="Arial" w:eastAsia="Arial" w:hAnsi="Arial"/>
          <w:sz w:val="24"/>
          <w:vertAlign w:val="superscript"/>
          <w:lang w:val="es-ES"/>
        </w:rPr>
        <w:t>35</w:t>
      </w:r>
    </w:p>
    <w:p w:rsidR="001E0601" w:rsidRDefault="00567E09">
      <w:pPr>
        <w:spacing w:after="160" w:line="259" w:lineRule="exact"/>
        <w:rPr>
          <w:rFonts w:ascii="Arial" w:eastAsia="Arial" w:hAnsi="Arial"/>
          <w:color w:val="5B277D"/>
          <w:sz w:val="24"/>
          <w:lang w:val="es-ES"/>
        </w:rPr>
      </w:pPr>
      <w:r>
        <w:rPr>
          <w:rFonts w:ascii="Arial" w:eastAsia="Arial" w:hAnsi="Arial"/>
          <w:sz w:val="24"/>
          <w:lang w:val="es-ES"/>
        </w:rPr>
        <w:t>Como hemos visto, esta nueva pandemia también afecta a niños y adolescentes, con características propias y afortunadamente con menor morbimortalidad. Debemos esperar más datos sobre los niños de esta región del mundo para poder caracterizar mejor la afectación en nuestra población</w:t>
      </w:r>
      <w:r>
        <w:rPr>
          <w:rFonts w:ascii="Arial" w:eastAsia="Arial" w:hAnsi="Arial"/>
          <w:color w:val="5B277D"/>
          <w:sz w:val="24"/>
          <w:lang w:val="es-ES"/>
        </w:rPr>
        <w:t>.</w:t>
      </w:r>
    </w:p>
    <w:p w:rsidR="00A07D5E" w:rsidRDefault="00A07D5E">
      <w:pPr>
        <w:spacing w:after="160" w:line="259" w:lineRule="exact"/>
        <w:rPr>
          <w:rFonts w:ascii="Arial" w:hAnsi="Arial"/>
          <w:sz w:val="24"/>
        </w:rPr>
      </w:pPr>
    </w:p>
    <w:p w:rsidR="001E0601" w:rsidRDefault="00A07D5E">
      <w:pPr>
        <w:spacing w:after="160" w:line="259" w:lineRule="exact"/>
        <w:ind w:left="360"/>
        <w:rPr>
          <w:rFonts w:ascii="Arial" w:eastAsia="Arial" w:hAnsi="Arial"/>
          <w:color w:val="545454"/>
          <w:sz w:val="24"/>
          <w:highlight w:val="white"/>
          <w:lang w:val="es-ES"/>
        </w:rPr>
      </w:pPr>
      <w:r>
        <w:rPr>
          <w:rFonts w:ascii="Arial" w:eastAsia="Arial" w:hAnsi="Arial"/>
          <w:sz w:val="24"/>
          <w:lang w:val="es-ES"/>
        </w:rPr>
        <w:t>Referencias</w:t>
      </w:r>
    </w:p>
    <w:p w:rsidR="001E0601" w:rsidRDefault="00567E09">
      <w:pPr>
        <w:numPr>
          <w:ilvl w:val="0"/>
          <w:numId w:val="2"/>
        </w:numPr>
        <w:spacing w:after="160" w:line="259" w:lineRule="exact"/>
        <w:ind w:left="720" w:hanging="360"/>
      </w:pPr>
      <w:proofErr w:type="spellStart"/>
      <w:r>
        <w:rPr>
          <w:rFonts w:ascii="Arial" w:eastAsia="Arial" w:hAnsi="Arial"/>
          <w:color w:val="545454"/>
          <w:sz w:val="24"/>
          <w:shd w:val="clear" w:color="auto" w:fill="F7F7F7"/>
          <w:lang w:val="es-ES"/>
        </w:rPr>
        <w:t>Boast</w:t>
      </w:r>
      <w:proofErr w:type="spellEnd"/>
      <w:r>
        <w:rPr>
          <w:rFonts w:ascii="Arial" w:eastAsia="Arial" w:hAnsi="Arial"/>
          <w:color w:val="545454"/>
          <w:sz w:val="24"/>
          <w:shd w:val="clear" w:color="auto" w:fill="F7F7F7"/>
          <w:lang w:val="es-ES"/>
        </w:rPr>
        <w:t xml:space="preserve"> A, </w:t>
      </w:r>
      <w:proofErr w:type="spellStart"/>
      <w:r>
        <w:rPr>
          <w:rFonts w:ascii="Arial" w:eastAsia="Arial" w:hAnsi="Arial"/>
          <w:color w:val="545454"/>
          <w:sz w:val="24"/>
          <w:shd w:val="clear" w:color="auto" w:fill="F7F7F7"/>
          <w:lang w:val="es-ES"/>
        </w:rPr>
        <w:t>Munro</w:t>
      </w:r>
      <w:proofErr w:type="spellEnd"/>
      <w:r>
        <w:rPr>
          <w:rFonts w:ascii="Arial" w:eastAsia="Arial" w:hAnsi="Arial"/>
          <w:color w:val="545454"/>
          <w:sz w:val="24"/>
          <w:shd w:val="clear" w:color="auto" w:fill="F7F7F7"/>
          <w:lang w:val="es-ES"/>
        </w:rPr>
        <w:t xml:space="preserve"> A, </w:t>
      </w:r>
      <w:proofErr w:type="spellStart"/>
      <w:r>
        <w:rPr>
          <w:rFonts w:ascii="Arial" w:eastAsia="Arial" w:hAnsi="Arial"/>
          <w:color w:val="545454"/>
          <w:sz w:val="24"/>
          <w:shd w:val="clear" w:color="auto" w:fill="F7F7F7"/>
          <w:lang w:val="es-ES"/>
        </w:rPr>
        <w:t>Goldstein</w:t>
      </w:r>
      <w:proofErr w:type="spellEnd"/>
      <w:r>
        <w:rPr>
          <w:rFonts w:ascii="Arial" w:eastAsia="Arial" w:hAnsi="Arial"/>
          <w:color w:val="545454"/>
          <w:sz w:val="24"/>
          <w:shd w:val="clear" w:color="auto" w:fill="F7F7F7"/>
          <w:lang w:val="es-ES"/>
        </w:rPr>
        <w:t xml:space="preserve"> H. </w:t>
      </w:r>
      <w:proofErr w:type="spellStart"/>
      <w:r>
        <w:rPr>
          <w:rFonts w:ascii="Arial" w:eastAsia="Arial" w:hAnsi="Arial"/>
          <w:color w:val="545454"/>
          <w:sz w:val="24"/>
          <w:shd w:val="clear" w:color="auto" w:fill="F7F7F7"/>
          <w:lang w:val="es-ES"/>
        </w:rPr>
        <w:t>An</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evidence</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summary</w:t>
      </w:r>
      <w:proofErr w:type="spellEnd"/>
      <w:r>
        <w:rPr>
          <w:rFonts w:ascii="Arial" w:eastAsia="Arial" w:hAnsi="Arial"/>
          <w:color w:val="545454"/>
          <w:sz w:val="24"/>
          <w:shd w:val="clear" w:color="auto" w:fill="F7F7F7"/>
          <w:lang w:val="es-ES"/>
        </w:rPr>
        <w:t xml:space="preserve"> of </w:t>
      </w:r>
      <w:proofErr w:type="spellStart"/>
      <w:r>
        <w:rPr>
          <w:rFonts w:ascii="Arial" w:eastAsia="Arial" w:hAnsi="Arial"/>
          <w:color w:val="545454"/>
          <w:sz w:val="24"/>
          <w:shd w:val="clear" w:color="auto" w:fill="F7F7F7"/>
          <w:lang w:val="es-ES"/>
        </w:rPr>
        <w:t>Paediatric</w:t>
      </w:r>
      <w:proofErr w:type="spellEnd"/>
      <w:r>
        <w:rPr>
          <w:rFonts w:ascii="Arial" w:eastAsia="Arial" w:hAnsi="Arial"/>
          <w:color w:val="545454"/>
          <w:sz w:val="24"/>
          <w:shd w:val="clear" w:color="auto" w:fill="F7F7F7"/>
          <w:lang w:val="es-ES"/>
        </w:rPr>
        <w:t xml:space="preserve"> COVID-19 </w:t>
      </w:r>
      <w:proofErr w:type="spellStart"/>
      <w:r>
        <w:rPr>
          <w:rFonts w:ascii="Arial" w:eastAsia="Arial" w:hAnsi="Arial"/>
          <w:color w:val="545454"/>
          <w:sz w:val="24"/>
          <w:shd w:val="clear" w:color="auto" w:fill="F7F7F7"/>
          <w:lang w:val="es-ES"/>
        </w:rPr>
        <w:t>literature</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Don't</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Forget</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the</w:t>
      </w:r>
      <w:proofErr w:type="spellEnd"/>
      <w:r>
        <w:rPr>
          <w:rFonts w:ascii="Arial" w:eastAsia="Arial" w:hAnsi="Arial"/>
          <w:color w:val="545454"/>
          <w:sz w:val="24"/>
          <w:shd w:val="clear" w:color="auto" w:fill="F7F7F7"/>
          <w:lang w:val="es-ES"/>
        </w:rPr>
        <w:t xml:space="preserve"> </w:t>
      </w:r>
      <w:proofErr w:type="spellStart"/>
      <w:r>
        <w:rPr>
          <w:rFonts w:ascii="Arial" w:eastAsia="Arial" w:hAnsi="Arial"/>
          <w:color w:val="545454"/>
          <w:sz w:val="24"/>
          <w:shd w:val="clear" w:color="auto" w:fill="F7F7F7"/>
          <w:lang w:val="es-ES"/>
        </w:rPr>
        <w:t>Bubbles</w:t>
      </w:r>
      <w:proofErr w:type="spellEnd"/>
      <w:r>
        <w:rPr>
          <w:rFonts w:ascii="Arial" w:eastAsia="Arial" w:hAnsi="Arial"/>
          <w:color w:val="545454"/>
          <w:sz w:val="24"/>
          <w:shd w:val="clear" w:color="auto" w:fill="F7F7F7"/>
          <w:lang w:val="es-ES"/>
        </w:rPr>
        <w:t xml:space="preserve">, 2020. </w:t>
      </w:r>
      <w:proofErr w:type="spellStart"/>
      <w:r>
        <w:rPr>
          <w:rFonts w:ascii="Arial" w:eastAsia="Arial" w:hAnsi="Arial"/>
          <w:color w:val="545454"/>
          <w:sz w:val="24"/>
          <w:shd w:val="clear" w:color="auto" w:fill="F7F7F7"/>
          <w:lang w:val="es-ES"/>
        </w:rPr>
        <w:t>Available</w:t>
      </w:r>
      <w:proofErr w:type="spellEnd"/>
      <w:r>
        <w:rPr>
          <w:rFonts w:ascii="Arial" w:eastAsia="Arial" w:hAnsi="Arial"/>
          <w:color w:val="545454"/>
          <w:sz w:val="24"/>
          <w:shd w:val="clear" w:color="auto" w:fill="F7F7F7"/>
          <w:lang w:val="es-ES"/>
        </w:rPr>
        <w:t xml:space="preserve"> at:</w:t>
      </w:r>
      <w:r>
        <w:rPr>
          <w:rFonts w:ascii="Arial" w:eastAsia="Arial" w:hAnsi="Arial"/>
          <w:color w:val="545454"/>
          <w:sz w:val="24"/>
          <w:lang w:val="es-ES"/>
        </w:rPr>
        <w:br/>
      </w:r>
      <w:hyperlink r:id="rId8">
        <w:r>
          <w:rPr>
            <w:rFonts w:ascii="Arial" w:eastAsia="Arial" w:hAnsi="Arial"/>
            <w:sz w:val="24"/>
            <w:u w:val="single"/>
            <w:lang w:val="es-ES"/>
          </w:rPr>
          <w:t>http://doi.org/10.31440/DFTB.24063</w:t>
        </w:r>
      </w:hyperlink>
    </w:p>
    <w:p w:rsidR="001E0601" w:rsidRDefault="00567E09">
      <w:pPr>
        <w:numPr>
          <w:ilvl w:val="0"/>
          <w:numId w:val="2"/>
        </w:numPr>
        <w:spacing w:after="160" w:line="259" w:lineRule="exact"/>
        <w:ind w:left="720" w:hanging="360"/>
        <w:rPr>
          <w:rFonts w:ascii="Arial" w:hAnsi="Arial"/>
          <w:sz w:val="24"/>
        </w:rPr>
      </w:pPr>
      <w:r>
        <w:rPr>
          <w:rFonts w:ascii="Arial" w:eastAsia="Arial" w:hAnsi="Arial"/>
          <w:color w:val="000000"/>
          <w:sz w:val="24"/>
          <w:lang w:val="es-ES"/>
        </w:rPr>
        <w:t xml:space="preserve">Dong Y, Mo X, </w:t>
      </w:r>
      <w:proofErr w:type="spellStart"/>
      <w:r>
        <w:rPr>
          <w:rFonts w:ascii="Arial" w:eastAsia="Arial" w:hAnsi="Arial"/>
          <w:color w:val="000000"/>
          <w:sz w:val="24"/>
          <w:lang w:val="es-ES"/>
        </w:rPr>
        <w:t>Hu</w:t>
      </w:r>
      <w:proofErr w:type="spellEnd"/>
      <w:r>
        <w:rPr>
          <w:rFonts w:ascii="Arial" w:eastAsia="Arial" w:hAnsi="Arial"/>
          <w:color w:val="000000"/>
          <w:sz w:val="24"/>
          <w:lang w:val="es-ES"/>
        </w:rPr>
        <w:t xml:space="preserve"> Y, et al. </w:t>
      </w:r>
      <w:proofErr w:type="spellStart"/>
      <w:r>
        <w:rPr>
          <w:rFonts w:ascii="Arial" w:eastAsia="Arial" w:hAnsi="Arial"/>
          <w:color w:val="000000"/>
          <w:sz w:val="24"/>
          <w:lang w:val="es-ES"/>
        </w:rPr>
        <w:t>Epidemiology</w:t>
      </w:r>
      <w:proofErr w:type="spellEnd"/>
      <w:r>
        <w:rPr>
          <w:rFonts w:ascii="Arial" w:eastAsia="Arial" w:hAnsi="Arial"/>
          <w:color w:val="000000"/>
          <w:sz w:val="24"/>
          <w:lang w:val="es-ES"/>
        </w:rPr>
        <w:t xml:space="preserve"> of COVID-19 </w:t>
      </w:r>
      <w:proofErr w:type="spellStart"/>
      <w:r>
        <w:rPr>
          <w:rFonts w:ascii="Arial" w:eastAsia="Arial" w:hAnsi="Arial"/>
          <w:color w:val="000000"/>
          <w:sz w:val="24"/>
          <w:lang w:val="es-ES"/>
        </w:rPr>
        <w:t>Among</w:t>
      </w:r>
      <w:proofErr w:type="spellEnd"/>
      <w:r>
        <w:rPr>
          <w:rFonts w:ascii="Arial" w:eastAsia="Arial" w:hAnsi="Arial"/>
          <w:color w:val="000000"/>
          <w:sz w:val="24"/>
          <w:lang w:val="es-ES"/>
        </w:rPr>
        <w:t xml:space="preserve"> </w:t>
      </w:r>
      <w:proofErr w:type="spellStart"/>
      <w:r>
        <w:rPr>
          <w:rFonts w:ascii="Arial" w:eastAsia="Arial" w:hAnsi="Arial"/>
          <w:color w:val="000000"/>
          <w:sz w:val="24"/>
          <w:lang w:val="es-ES"/>
        </w:rPr>
        <w:t>Children</w:t>
      </w:r>
      <w:proofErr w:type="spellEnd"/>
      <w:r>
        <w:rPr>
          <w:rFonts w:ascii="Arial" w:eastAsia="Arial" w:hAnsi="Arial"/>
          <w:color w:val="000000"/>
          <w:sz w:val="24"/>
          <w:lang w:val="es-ES"/>
        </w:rPr>
        <w:t xml:space="preserve"> in China. </w:t>
      </w:r>
      <w:proofErr w:type="spellStart"/>
      <w:r>
        <w:rPr>
          <w:rFonts w:ascii="Arial" w:eastAsia="Arial" w:hAnsi="Arial"/>
          <w:color w:val="000000"/>
          <w:sz w:val="24"/>
          <w:lang w:val="es-ES"/>
        </w:rPr>
        <w:t>Pediatrics</w:t>
      </w:r>
      <w:proofErr w:type="spellEnd"/>
      <w:r>
        <w:rPr>
          <w:rFonts w:ascii="Arial" w:eastAsia="Arial" w:hAnsi="Arial"/>
          <w:color w:val="000000"/>
          <w:sz w:val="24"/>
          <w:lang w:val="es-ES"/>
        </w:rPr>
        <w:t>. 2020;145(6):e20200702</w:t>
      </w:r>
    </w:p>
    <w:p w:rsidR="001E0601" w:rsidRDefault="00567E09">
      <w:pPr>
        <w:numPr>
          <w:ilvl w:val="0"/>
          <w:numId w:val="2"/>
        </w:numPr>
        <w:spacing w:after="160" w:line="259" w:lineRule="exact"/>
        <w:ind w:left="720" w:hanging="360"/>
      </w:pPr>
      <w:r>
        <w:rPr>
          <w:rFonts w:ascii="Arial" w:eastAsia="Arial" w:hAnsi="Arial"/>
          <w:sz w:val="24"/>
          <w:lang w:val="es-ES"/>
        </w:rPr>
        <w:t>Actualización epidemiológica de COVID-19 en pediatría. 30 de Abril 2020 Ministerio de Salud de Argentina.</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Gudbjartsson</w:t>
      </w:r>
      <w:proofErr w:type="spellEnd"/>
      <w:r>
        <w:rPr>
          <w:rFonts w:ascii="Arial" w:eastAsia="Arial" w:hAnsi="Arial"/>
          <w:sz w:val="24"/>
          <w:lang w:val="es-ES"/>
        </w:rPr>
        <w:t xml:space="preserve"> DF, </w:t>
      </w:r>
      <w:proofErr w:type="spellStart"/>
      <w:r>
        <w:rPr>
          <w:rFonts w:ascii="Arial" w:eastAsia="Arial" w:hAnsi="Arial"/>
          <w:sz w:val="24"/>
          <w:lang w:val="es-ES"/>
        </w:rPr>
        <w:t>Helgason</w:t>
      </w:r>
      <w:proofErr w:type="spellEnd"/>
      <w:r>
        <w:rPr>
          <w:rFonts w:ascii="Arial" w:eastAsia="Arial" w:hAnsi="Arial"/>
          <w:sz w:val="24"/>
          <w:lang w:val="es-ES"/>
        </w:rPr>
        <w:t xml:space="preserve"> A, </w:t>
      </w:r>
      <w:proofErr w:type="spellStart"/>
      <w:r>
        <w:rPr>
          <w:rFonts w:ascii="Arial" w:eastAsia="Arial" w:hAnsi="Arial"/>
          <w:sz w:val="24"/>
          <w:lang w:val="es-ES"/>
        </w:rPr>
        <w:t>Jonsson</w:t>
      </w:r>
      <w:proofErr w:type="spellEnd"/>
      <w:r>
        <w:rPr>
          <w:rFonts w:ascii="Arial" w:eastAsia="Arial" w:hAnsi="Arial"/>
          <w:sz w:val="24"/>
          <w:lang w:val="es-ES"/>
        </w:rPr>
        <w:t xml:space="preserve"> H, </w:t>
      </w:r>
      <w:proofErr w:type="spellStart"/>
      <w:r>
        <w:rPr>
          <w:rFonts w:ascii="Arial" w:eastAsia="Arial" w:hAnsi="Arial"/>
          <w:sz w:val="24"/>
          <w:lang w:val="es-ES"/>
        </w:rPr>
        <w:t>Magnusson</w:t>
      </w:r>
      <w:proofErr w:type="spellEnd"/>
      <w:r>
        <w:rPr>
          <w:rFonts w:ascii="Arial" w:eastAsia="Arial" w:hAnsi="Arial"/>
          <w:sz w:val="24"/>
          <w:lang w:val="es-ES"/>
        </w:rPr>
        <w:t xml:space="preserve"> OT, </w:t>
      </w:r>
      <w:proofErr w:type="spellStart"/>
      <w:r>
        <w:rPr>
          <w:rFonts w:ascii="Arial" w:eastAsia="Arial" w:hAnsi="Arial"/>
          <w:sz w:val="24"/>
          <w:lang w:val="es-ES"/>
        </w:rPr>
        <w:t>Melsted</w:t>
      </w:r>
      <w:proofErr w:type="spellEnd"/>
      <w:r>
        <w:rPr>
          <w:rFonts w:ascii="Arial" w:eastAsia="Arial" w:hAnsi="Arial"/>
          <w:sz w:val="24"/>
          <w:lang w:val="es-ES"/>
        </w:rPr>
        <w:t xml:space="preserve"> P, </w:t>
      </w:r>
      <w:proofErr w:type="spellStart"/>
      <w:r>
        <w:rPr>
          <w:rFonts w:ascii="Arial" w:eastAsia="Arial" w:hAnsi="Arial"/>
          <w:sz w:val="24"/>
          <w:lang w:val="es-ES"/>
        </w:rPr>
        <w:t>Norddahl</w:t>
      </w:r>
      <w:proofErr w:type="spellEnd"/>
      <w:r>
        <w:rPr>
          <w:rFonts w:ascii="Arial" w:eastAsia="Arial" w:hAnsi="Arial"/>
          <w:sz w:val="24"/>
          <w:lang w:val="es-ES"/>
        </w:rPr>
        <w:t xml:space="preserve"> GL, et al. Spread of SARS-CoV-2 in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Icelandic</w:t>
      </w:r>
      <w:proofErr w:type="spellEnd"/>
      <w:r>
        <w:rPr>
          <w:rFonts w:ascii="Arial" w:eastAsia="Arial" w:hAnsi="Arial"/>
          <w:sz w:val="24"/>
          <w:lang w:val="es-ES"/>
        </w:rPr>
        <w:t xml:space="preserve"> </w:t>
      </w:r>
      <w:proofErr w:type="spellStart"/>
      <w:r>
        <w:rPr>
          <w:rFonts w:ascii="Arial" w:eastAsia="Arial" w:hAnsi="Arial"/>
          <w:sz w:val="24"/>
          <w:lang w:val="es-ES"/>
        </w:rPr>
        <w:t>Population</w:t>
      </w:r>
      <w:proofErr w:type="spellEnd"/>
      <w:r>
        <w:rPr>
          <w:rFonts w:ascii="Arial" w:eastAsia="Arial" w:hAnsi="Arial"/>
          <w:sz w:val="24"/>
          <w:lang w:val="es-ES"/>
        </w:rPr>
        <w:t xml:space="preserve">. N </w:t>
      </w:r>
      <w:proofErr w:type="spellStart"/>
      <w:r>
        <w:rPr>
          <w:rFonts w:ascii="Arial" w:eastAsia="Arial" w:hAnsi="Arial"/>
          <w:sz w:val="24"/>
          <w:lang w:val="es-ES"/>
        </w:rPr>
        <w:t>Engl</w:t>
      </w:r>
      <w:proofErr w:type="spellEnd"/>
      <w:r>
        <w:rPr>
          <w:rFonts w:ascii="Arial" w:eastAsia="Arial" w:hAnsi="Arial"/>
          <w:sz w:val="24"/>
          <w:lang w:val="es-ES"/>
        </w:rPr>
        <w:t xml:space="preserve"> J  </w:t>
      </w:r>
      <w:proofErr w:type="spellStart"/>
      <w:r>
        <w:rPr>
          <w:rFonts w:ascii="Arial" w:eastAsia="Arial" w:hAnsi="Arial"/>
          <w:sz w:val="24"/>
          <w:lang w:val="es-ES"/>
        </w:rPr>
        <w:t>Med</w:t>
      </w:r>
      <w:proofErr w:type="spellEnd"/>
      <w:r>
        <w:rPr>
          <w:rFonts w:ascii="Arial" w:eastAsia="Arial" w:hAnsi="Arial"/>
          <w:sz w:val="24"/>
          <w:lang w:val="es-ES"/>
        </w:rPr>
        <w:t xml:space="preserve">, </w:t>
      </w:r>
      <w:proofErr w:type="spellStart"/>
      <w:r>
        <w:rPr>
          <w:rFonts w:ascii="Arial" w:eastAsia="Arial" w:hAnsi="Arial"/>
          <w:sz w:val="24"/>
          <w:lang w:val="es-ES"/>
        </w:rPr>
        <w:t>Published</w:t>
      </w:r>
      <w:proofErr w:type="spellEnd"/>
      <w:r>
        <w:rPr>
          <w:rFonts w:ascii="Arial" w:eastAsia="Arial" w:hAnsi="Arial"/>
          <w:sz w:val="24"/>
          <w:lang w:val="es-ES"/>
        </w:rPr>
        <w:t xml:space="preserve"> </w:t>
      </w:r>
      <w:proofErr w:type="spellStart"/>
      <w:r>
        <w:rPr>
          <w:rFonts w:ascii="Arial" w:eastAsia="Arial" w:hAnsi="Arial"/>
          <w:sz w:val="24"/>
          <w:lang w:val="es-ES"/>
        </w:rPr>
        <w:t>April</w:t>
      </w:r>
      <w:proofErr w:type="spellEnd"/>
      <w:r>
        <w:rPr>
          <w:rFonts w:ascii="Arial" w:eastAsia="Arial" w:hAnsi="Arial"/>
          <w:sz w:val="24"/>
          <w:lang w:val="es-ES"/>
        </w:rPr>
        <w:t xml:space="preserve"> 14th 2020, doi</w:t>
      </w:r>
      <w:proofErr w:type="gramStart"/>
      <w:r>
        <w:rPr>
          <w:rFonts w:ascii="Arial" w:eastAsia="Arial" w:hAnsi="Arial"/>
          <w:sz w:val="24"/>
          <w:lang w:val="es-ES"/>
        </w:rPr>
        <w:t>:10.1056</w:t>
      </w:r>
      <w:proofErr w:type="gramEnd"/>
      <w:r>
        <w:rPr>
          <w:rFonts w:ascii="Arial" w:eastAsia="Arial" w:hAnsi="Arial"/>
          <w:sz w:val="24"/>
          <w:lang w:val="es-ES"/>
        </w:rPr>
        <w:t>/NEJMoa2006100.</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Enrico </w:t>
      </w:r>
      <w:proofErr w:type="spellStart"/>
      <w:r>
        <w:rPr>
          <w:rFonts w:ascii="Arial" w:eastAsia="Arial" w:hAnsi="Arial"/>
          <w:sz w:val="24"/>
          <w:lang w:val="es-ES"/>
        </w:rPr>
        <w:t>Lavezzo</w:t>
      </w:r>
      <w:proofErr w:type="spellEnd"/>
      <w:r>
        <w:rPr>
          <w:rFonts w:ascii="Arial" w:eastAsia="Arial" w:hAnsi="Arial"/>
          <w:sz w:val="24"/>
          <w:lang w:val="es-ES"/>
        </w:rPr>
        <w:t xml:space="preserve">, Elisa </w:t>
      </w:r>
      <w:proofErr w:type="spellStart"/>
      <w:r>
        <w:rPr>
          <w:rFonts w:ascii="Arial" w:eastAsia="Arial" w:hAnsi="Arial"/>
          <w:sz w:val="24"/>
          <w:lang w:val="es-ES"/>
        </w:rPr>
        <w:t>Franchin</w:t>
      </w:r>
      <w:proofErr w:type="spellEnd"/>
      <w:r>
        <w:rPr>
          <w:rFonts w:ascii="Arial" w:eastAsia="Arial" w:hAnsi="Arial"/>
          <w:sz w:val="24"/>
          <w:lang w:val="es-ES"/>
        </w:rPr>
        <w:t xml:space="preserve">, </w:t>
      </w:r>
      <w:proofErr w:type="spellStart"/>
      <w:r>
        <w:rPr>
          <w:rFonts w:ascii="Arial" w:eastAsia="Arial" w:hAnsi="Arial"/>
          <w:sz w:val="24"/>
          <w:lang w:val="es-ES"/>
        </w:rPr>
        <w:t>Constanze</w:t>
      </w:r>
      <w:proofErr w:type="spellEnd"/>
      <w:r>
        <w:rPr>
          <w:rFonts w:ascii="Arial" w:eastAsia="Arial" w:hAnsi="Arial"/>
          <w:sz w:val="24"/>
          <w:lang w:val="es-ES"/>
        </w:rPr>
        <w:t xml:space="preserve"> </w:t>
      </w:r>
      <w:proofErr w:type="spellStart"/>
      <w:r>
        <w:rPr>
          <w:rFonts w:ascii="Arial" w:eastAsia="Arial" w:hAnsi="Arial"/>
          <w:sz w:val="24"/>
          <w:lang w:val="es-ES"/>
        </w:rPr>
        <w:t>Ciavarella</w:t>
      </w:r>
      <w:proofErr w:type="spellEnd"/>
      <w:r>
        <w:rPr>
          <w:rFonts w:ascii="Arial" w:eastAsia="Arial" w:hAnsi="Arial"/>
          <w:sz w:val="24"/>
          <w:lang w:val="es-ES"/>
        </w:rPr>
        <w:t xml:space="preserve">, et. al, </w:t>
      </w:r>
      <w:proofErr w:type="spellStart"/>
      <w:r>
        <w:rPr>
          <w:rFonts w:ascii="Arial" w:eastAsia="Arial" w:hAnsi="Arial"/>
          <w:sz w:val="24"/>
          <w:lang w:val="es-ES"/>
        </w:rPr>
        <w:t>Suppression</w:t>
      </w:r>
      <w:proofErr w:type="spellEnd"/>
      <w:r>
        <w:rPr>
          <w:rFonts w:ascii="Arial" w:eastAsia="Arial" w:hAnsi="Arial"/>
          <w:sz w:val="24"/>
          <w:lang w:val="es-ES"/>
        </w:rPr>
        <w:t xml:space="preserve"> of  COVID-19 </w:t>
      </w:r>
      <w:proofErr w:type="spellStart"/>
      <w:r>
        <w:rPr>
          <w:rFonts w:ascii="Arial" w:eastAsia="Arial" w:hAnsi="Arial"/>
          <w:sz w:val="24"/>
          <w:lang w:val="es-ES"/>
        </w:rPr>
        <w:t>outbreak</w:t>
      </w:r>
      <w:proofErr w:type="spellEnd"/>
      <w:r>
        <w:rPr>
          <w:rFonts w:ascii="Arial" w:eastAsia="Arial" w:hAnsi="Arial"/>
          <w:sz w:val="24"/>
          <w:lang w:val="es-ES"/>
        </w:rPr>
        <w:t xml:space="preserve"> in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municipality</w:t>
      </w:r>
      <w:proofErr w:type="spellEnd"/>
      <w:r>
        <w:rPr>
          <w:rFonts w:ascii="Arial" w:eastAsia="Arial" w:hAnsi="Arial"/>
          <w:sz w:val="24"/>
          <w:lang w:val="es-ES"/>
        </w:rPr>
        <w:t xml:space="preserve"> of </w:t>
      </w:r>
      <w:proofErr w:type="spellStart"/>
      <w:r>
        <w:rPr>
          <w:rFonts w:ascii="Arial" w:eastAsia="Arial" w:hAnsi="Arial"/>
          <w:sz w:val="24"/>
          <w:lang w:val="es-ES"/>
        </w:rPr>
        <w:t>Vo</w:t>
      </w:r>
      <w:proofErr w:type="spellEnd"/>
      <w:r>
        <w:rPr>
          <w:rFonts w:ascii="Arial" w:eastAsia="Arial" w:hAnsi="Arial"/>
          <w:sz w:val="24"/>
          <w:lang w:val="es-ES"/>
        </w:rPr>
        <w:t xml:space="preserve">, </w:t>
      </w:r>
      <w:proofErr w:type="spellStart"/>
      <w:r>
        <w:rPr>
          <w:rFonts w:ascii="Arial" w:eastAsia="Arial" w:hAnsi="Arial"/>
          <w:sz w:val="24"/>
          <w:lang w:val="es-ES"/>
        </w:rPr>
        <w:t>Italy</w:t>
      </w:r>
      <w:proofErr w:type="spellEnd"/>
      <w:r>
        <w:rPr>
          <w:rFonts w:ascii="Arial" w:eastAsia="Arial" w:hAnsi="Arial"/>
          <w:sz w:val="24"/>
          <w:lang w:val="es-ES"/>
        </w:rPr>
        <w:t xml:space="preserve">, </w:t>
      </w:r>
      <w:proofErr w:type="spellStart"/>
      <w:r>
        <w:rPr>
          <w:rFonts w:ascii="Arial" w:eastAsia="Arial" w:hAnsi="Arial"/>
          <w:sz w:val="24"/>
          <w:lang w:val="es-ES"/>
        </w:rPr>
        <w:t>medRxiv</w:t>
      </w:r>
      <w:proofErr w:type="spellEnd"/>
      <w:r>
        <w:rPr>
          <w:rFonts w:ascii="Arial" w:eastAsia="Arial" w:hAnsi="Arial"/>
          <w:sz w:val="24"/>
          <w:lang w:val="es-ES"/>
        </w:rPr>
        <w:t xml:space="preserve"> 2020.04.17.20 </w:t>
      </w:r>
      <w:proofErr w:type="spellStart"/>
      <w:r>
        <w:rPr>
          <w:rFonts w:ascii="Arial" w:eastAsia="Arial" w:hAnsi="Arial"/>
          <w:sz w:val="24"/>
          <w:lang w:val="es-ES"/>
        </w:rPr>
        <w:t>doi</w:t>
      </w:r>
      <w:proofErr w:type="spellEnd"/>
      <w:r>
        <w:rPr>
          <w:rFonts w:ascii="Arial" w:eastAsia="Arial" w:hAnsi="Arial"/>
          <w:sz w:val="24"/>
          <w:lang w:val="es-ES"/>
        </w:rPr>
        <w:t>: https://doi.org/10.1101/2020.04.17.20053157</w:t>
      </w:r>
    </w:p>
    <w:p w:rsidR="001E0601" w:rsidRDefault="00567E09">
      <w:pPr>
        <w:numPr>
          <w:ilvl w:val="0"/>
          <w:numId w:val="2"/>
        </w:numPr>
        <w:spacing w:after="160" w:line="259" w:lineRule="exact"/>
        <w:ind w:left="720" w:hanging="360"/>
        <w:rPr>
          <w:rFonts w:ascii="Arial" w:hAnsi="Arial"/>
          <w:sz w:val="24"/>
        </w:rPr>
      </w:pPr>
      <w:r>
        <w:rPr>
          <w:rFonts w:ascii="Arial" w:eastAsia="Arial" w:hAnsi="Arial"/>
          <w:color w:val="242021"/>
          <w:sz w:val="24"/>
          <w:lang w:val="es-ES"/>
        </w:rPr>
        <w:t xml:space="preserve">Medical </w:t>
      </w:r>
      <w:proofErr w:type="spellStart"/>
      <w:r>
        <w:rPr>
          <w:rFonts w:ascii="Arial" w:eastAsia="Arial" w:hAnsi="Arial"/>
          <w:color w:val="242021"/>
          <w:sz w:val="24"/>
          <w:lang w:val="es-ES"/>
        </w:rPr>
        <w:t>Virology</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from</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Pathogenesis</w:t>
      </w:r>
      <w:proofErr w:type="spellEnd"/>
      <w:r>
        <w:rPr>
          <w:rFonts w:ascii="Arial" w:eastAsia="Arial" w:hAnsi="Arial"/>
          <w:color w:val="242021"/>
          <w:sz w:val="24"/>
          <w:lang w:val="es-ES"/>
        </w:rPr>
        <w:t xml:space="preserve"> to </w:t>
      </w:r>
      <w:proofErr w:type="spellStart"/>
      <w:r>
        <w:rPr>
          <w:rFonts w:ascii="Arial" w:eastAsia="Arial" w:hAnsi="Arial"/>
          <w:color w:val="242021"/>
          <w:sz w:val="24"/>
          <w:lang w:val="es-ES"/>
        </w:rPr>
        <w:t>Disease</w:t>
      </w:r>
      <w:proofErr w:type="spellEnd"/>
      <w:r>
        <w:rPr>
          <w:rFonts w:ascii="Arial" w:eastAsia="Arial" w:hAnsi="Arial"/>
          <w:color w:val="242021"/>
          <w:sz w:val="24"/>
          <w:lang w:val="es-ES"/>
        </w:rPr>
        <w:t xml:space="preserve"> Control Coronavirus </w:t>
      </w:r>
      <w:proofErr w:type="spellStart"/>
      <w:r>
        <w:rPr>
          <w:rFonts w:ascii="Arial" w:eastAsia="Arial" w:hAnsi="Arial"/>
          <w:color w:val="242021"/>
          <w:sz w:val="24"/>
          <w:lang w:val="es-ES"/>
        </w:rPr>
        <w:t>Disease</w:t>
      </w:r>
      <w:proofErr w:type="spellEnd"/>
      <w:r>
        <w:rPr>
          <w:rFonts w:ascii="Arial" w:eastAsia="Arial" w:hAnsi="Arial"/>
          <w:color w:val="242021"/>
          <w:sz w:val="24"/>
          <w:lang w:val="es-ES"/>
        </w:rPr>
        <w:t xml:space="preserve"> 2019 (COVID-19) </w:t>
      </w:r>
      <w:proofErr w:type="spellStart"/>
      <w:r>
        <w:rPr>
          <w:rFonts w:ascii="Arial" w:eastAsia="Arial" w:hAnsi="Arial"/>
          <w:color w:val="242021"/>
          <w:sz w:val="24"/>
          <w:lang w:val="es-ES"/>
        </w:rPr>
        <w:t>Shailendra</w:t>
      </w:r>
      <w:proofErr w:type="spellEnd"/>
      <w:r>
        <w:rPr>
          <w:rFonts w:ascii="Arial" w:eastAsia="Arial" w:hAnsi="Arial"/>
          <w:color w:val="242021"/>
          <w:sz w:val="24"/>
          <w:lang w:val="es-ES"/>
        </w:rPr>
        <w:t xml:space="preserve"> K. </w:t>
      </w:r>
      <w:proofErr w:type="spellStart"/>
      <w:r>
        <w:rPr>
          <w:rFonts w:ascii="Arial" w:eastAsia="Arial" w:hAnsi="Arial"/>
          <w:color w:val="242021"/>
          <w:sz w:val="24"/>
          <w:lang w:val="es-ES"/>
        </w:rPr>
        <w:t>Saxena</w:t>
      </w:r>
      <w:proofErr w:type="spellEnd"/>
      <w:r>
        <w:rPr>
          <w:rFonts w:ascii="Arial" w:eastAsia="Arial" w:hAnsi="Arial"/>
          <w:color w:val="242021"/>
          <w:sz w:val="24"/>
          <w:lang w:val="es-ES"/>
        </w:rPr>
        <w:t xml:space="preserve"> Editor </w:t>
      </w:r>
      <w:proofErr w:type="spellStart"/>
      <w:r>
        <w:rPr>
          <w:rFonts w:ascii="Arial" w:eastAsia="Arial" w:hAnsi="Arial"/>
          <w:color w:val="242021"/>
          <w:sz w:val="24"/>
          <w:lang w:val="es-ES"/>
        </w:rPr>
        <w:t>Epidemiology</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Pathogenesis</w:t>
      </w:r>
      <w:proofErr w:type="spellEnd"/>
      <w:r>
        <w:rPr>
          <w:rFonts w:ascii="Arial" w:eastAsia="Arial" w:hAnsi="Arial"/>
          <w:color w:val="242021"/>
          <w:sz w:val="24"/>
          <w:lang w:val="es-ES"/>
        </w:rPr>
        <w:t xml:space="preserve">, Diagnosis, and </w:t>
      </w:r>
      <w:proofErr w:type="spellStart"/>
      <w:r>
        <w:rPr>
          <w:rFonts w:ascii="Arial" w:eastAsia="Arial" w:hAnsi="Arial"/>
          <w:color w:val="242021"/>
          <w:sz w:val="24"/>
          <w:lang w:val="es-ES"/>
        </w:rPr>
        <w:t>Therapeutics</w:t>
      </w:r>
      <w:proofErr w:type="spellEnd"/>
      <w:r>
        <w:rPr>
          <w:rFonts w:ascii="Arial" w:eastAsia="Arial" w:hAnsi="Arial"/>
          <w:color w:val="242021"/>
          <w:sz w:val="24"/>
          <w:lang w:val="es-ES"/>
        </w:rPr>
        <w:t xml:space="preserve">  Series Editor </w:t>
      </w:r>
      <w:proofErr w:type="spellStart"/>
      <w:r>
        <w:rPr>
          <w:rFonts w:ascii="Arial" w:eastAsia="Arial" w:hAnsi="Arial"/>
          <w:color w:val="242021"/>
          <w:sz w:val="24"/>
          <w:lang w:val="es-ES"/>
        </w:rPr>
        <w:t>Shailendra</w:t>
      </w:r>
      <w:proofErr w:type="spellEnd"/>
      <w:r>
        <w:rPr>
          <w:rFonts w:ascii="Arial" w:eastAsia="Arial" w:hAnsi="Arial"/>
          <w:color w:val="242021"/>
          <w:sz w:val="24"/>
          <w:lang w:val="es-ES"/>
        </w:rPr>
        <w:t xml:space="preserve"> K. </w:t>
      </w:r>
      <w:proofErr w:type="spellStart"/>
      <w:r>
        <w:rPr>
          <w:rFonts w:ascii="Arial" w:eastAsia="Arial" w:hAnsi="Arial"/>
          <w:color w:val="242021"/>
          <w:sz w:val="24"/>
          <w:lang w:val="es-ES"/>
        </w:rPr>
        <w:t>Saxena</w:t>
      </w:r>
      <w:proofErr w:type="spellEnd"/>
      <w:r>
        <w:rPr>
          <w:rFonts w:ascii="Arial" w:eastAsia="Arial" w:hAnsi="Arial"/>
          <w:color w:val="242021"/>
          <w:sz w:val="24"/>
          <w:lang w:val="es-ES"/>
        </w:rPr>
        <w:t xml:space="preserve">. Centre </w:t>
      </w:r>
      <w:proofErr w:type="spellStart"/>
      <w:r>
        <w:rPr>
          <w:rFonts w:ascii="Arial" w:eastAsia="Arial" w:hAnsi="Arial"/>
          <w:color w:val="242021"/>
          <w:sz w:val="24"/>
          <w:lang w:val="es-ES"/>
        </w:rPr>
        <w:t>for</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Advanced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Research</w:t>
      </w:r>
      <w:proofErr w:type="spellEnd"/>
      <w:r>
        <w:rPr>
          <w:rFonts w:ascii="Arial" w:eastAsia="Arial" w:hAnsi="Arial"/>
          <w:color w:val="242021"/>
          <w:sz w:val="24"/>
          <w:lang w:val="es-ES"/>
        </w:rPr>
        <w:t xml:space="preserve">, King </w:t>
      </w:r>
      <w:proofErr w:type="spellStart"/>
      <w:r>
        <w:rPr>
          <w:rFonts w:ascii="Arial" w:eastAsia="Arial" w:hAnsi="Arial"/>
          <w:color w:val="242021"/>
          <w:sz w:val="24"/>
          <w:lang w:val="es-ES"/>
        </w:rPr>
        <w:t>George’s</w:t>
      </w:r>
      <w:proofErr w:type="spellEnd"/>
      <w:r>
        <w:rPr>
          <w:rFonts w:ascii="Arial" w:eastAsia="Arial" w:hAnsi="Arial"/>
          <w:color w:val="242021"/>
          <w:sz w:val="24"/>
          <w:lang w:val="es-ES"/>
        </w:rPr>
        <w:t xml:space="preserve"> Medical </w:t>
      </w:r>
      <w:proofErr w:type="spellStart"/>
      <w:r>
        <w:rPr>
          <w:rFonts w:ascii="Arial" w:eastAsia="Arial" w:hAnsi="Arial"/>
          <w:color w:val="242021"/>
          <w:sz w:val="24"/>
          <w:lang w:val="es-ES"/>
        </w:rPr>
        <w:t>University</w:t>
      </w:r>
      <w:proofErr w:type="spellEnd"/>
      <w:r>
        <w:rPr>
          <w:rFonts w:ascii="Arial" w:eastAsia="Arial" w:hAnsi="Arial"/>
          <w:color w:val="242021"/>
          <w:sz w:val="24"/>
          <w:lang w:val="es-ES"/>
        </w:rPr>
        <w:t>, Lucknow, India</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color w:val="242021"/>
          <w:sz w:val="24"/>
          <w:lang w:val="es-ES"/>
        </w:rPr>
        <w:t>Sadık</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Yurttutan</w:t>
      </w:r>
      <w:proofErr w:type="spellEnd"/>
      <w:r>
        <w:rPr>
          <w:rFonts w:ascii="Arial" w:eastAsia="Arial" w:hAnsi="Arial"/>
          <w:color w:val="242021"/>
          <w:sz w:val="24"/>
          <w:lang w:val="es-ES"/>
        </w:rPr>
        <w:t xml:space="preserve"> et al  </w:t>
      </w:r>
      <w:proofErr w:type="spellStart"/>
      <w:r>
        <w:rPr>
          <w:rFonts w:ascii="Arial" w:eastAsia="Arial" w:hAnsi="Arial"/>
          <w:color w:val="242021"/>
          <w:sz w:val="24"/>
          <w:lang w:val="es-ES"/>
        </w:rPr>
        <w:t>Why</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the</w:t>
      </w:r>
      <w:proofErr w:type="spellEnd"/>
      <w:r>
        <w:rPr>
          <w:rFonts w:ascii="Arial" w:eastAsia="Arial" w:hAnsi="Arial"/>
          <w:color w:val="242021"/>
          <w:sz w:val="24"/>
          <w:lang w:val="es-ES"/>
        </w:rPr>
        <w:t xml:space="preserve"> SARS‐Cov‐2 has </w:t>
      </w:r>
      <w:proofErr w:type="spellStart"/>
      <w:r>
        <w:rPr>
          <w:rFonts w:ascii="Arial" w:eastAsia="Arial" w:hAnsi="Arial"/>
          <w:color w:val="242021"/>
          <w:sz w:val="24"/>
          <w:lang w:val="es-ES"/>
        </w:rPr>
        <w:t>prolonged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spreading</w:t>
      </w:r>
      <w:proofErr w:type="spellEnd"/>
      <w:r>
        <w:rPr>
          <w:rFonts w:ascii="Arial" w:eastAsia="Arial" w:hAnsi="Arial"/>
          <w:color w:val="242021"/>
          <w:sz w:val="24"/>
          <w:lang w:val="es-ES"/>
        </w:rPr>
        <w:t xml:space="preserve"> time in </w:t>
      </w:r>
      <w:proofErr w:type="spellStart"/>
      <w:r>
        <w:rPr>
          <w:rFonts w:ascii="Arial" w:eastAsia="Arial" w:hAnsi="Arial"/>
          <w:color w:val="242021"/>
          <w:sz w:val="24"/>
          <w:lang w:val="es-ES"/>
        </w:rPr>
        <w:t>children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Pediatric</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Pulmonology</w:t>
      </w:r>
      <w:proofErr w:type="spellEnd"/>
      <w:r>
        <w:rPr>
          <w:rFonts w:ascii="Arial" w:eastAsia="Arial" w:hAnsi="Arial"/>
          <w:color w:val="242021"/>
          <w:sz w:val="24"/>
          <w:lang w:val="es-ES"/>
        </w:rPr>
        <w:t>. 2020;1–2</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color w:val="242021"/>
          <w:sz w:val="24"/>
          <w:lang w:val="es-ES"/>
        </w:rPr>
        <w:t>Crooke</w:t>
      </w:r>
      <w:proofErr w:type="spellEnd"/>
      <w:r>
        <w:rPr>
          <w:rFonts w:ascii="Arial" w:eastAsia="Arial" w:hAnsi="Arial"/>
          <w:color w:val="242021"/>
          <w:sz w:val="24"/>
          <w:lang w:val="es-ES"/>
        </w:rPr>
        <w:t xml:space="preserve"> SN, </w:t>
      </w:r>
      <w:proofErr w:type="spellStart"/>
      <w:r>
        <w:rPr>
          <w:rFonts w:ascii="Arial" w:eastAsia="Arial" w:hAnsi="Arial"/>
          <w:color w:val="242021"/>
          <w:sz w:val="24"/>
          <w:lang w:val="es-ES"/>
        </w:rPr>
        <w:t>Ovsyannikova</w:t>
      </w:r>
      <w:proofErr w:type="spellEnd"/>
      <w:r>
        <w:rPr>
          <w:rFonts w:ascii="Arial" w:eastAsia="Arial" w:hAnsi="Arial"/>
          <w:color w:val="242021"/>
          <w:sz w:val="24"/>
          <w:lang w:val="es-ES"/>
        </w:rPr>
        <w:t xml:space="preserve"> IG, </w:t>
      </w:r>
      <w:proofErr w:type="spellStart"/>
      <w:r>
        <w:rPr>
          <w:rFonts w:ascii="Arial" w:eastAsia="Arial" w:hAnsi="Arial"/>
          <w:color w:val="242021"/>
          <w:sz w:val="24"/>
          <w:lang w:val="es-ES"/>
        </w:rPr>
        <w:t>Poland</w:t>
      </w:r>
      <w:proofErr w:type="spellEnd"/>
      <w:r>
        <w:rPr>
          <w:rFonts w:ascii="Arial" w:eastAsia="Arial" w:hAnsi="Arial"/>
          <w:color w:val="242021"/>
          <w:sz w:val="24"/>
          <w:lang w:val="es-ES"/>
        </w:rPr>
        <w:t xml:space="preserve"> GA, Kennedy RB. </w:t>
      </w:r>
      <w:proofErr w:type="spellStart"/>
      <w:r>
        <w:rPr>
          <w:rFonts w:ascii="Arial" w:eastAsia="Arial" w:hAnsi="Arial"/>
          <w:color w:val="242021"/>
          <w:sz w:val="24"/>
          <w:lang w:val="es-ES"/>
        </w:rPr>
        <w:t>Immunosenescence</w:t>
      </w:r>
      <w:proofErr w:type="spellEnd"/>
      <w:r>
        <w:rPr>
          <w:rFonts w:ascii="Arial" w:eastAsia="Arial" w:hAnsi="Arial"/>
          <w:color w:val="242021"/>
          <w:sz w:val="24"/>
          <w:lang w:val="es-ES"/>
        </w:rPr>
        <w:t xml:space="preserve"> and human </w:t>
      </w:r>
      <w:proofErr w:type="spellStart"/>
      <w:r>
        <w:rPr>
          <w:rFonts w:ascii="Arial" w:eastAsia="Arial" w:hAnsi="Arial"/>
          <w:color w:val="242021"/>
          <w:sz w:val="24"/>
          <w:lang w:val="es-ES"/>
        </w:rPr>
        <w:t>vaccine</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immune</w:t>
      </w:r>
      <w:proofErr w:type="spellEnd"/>
      <w:r>
        <w:rPr>
          <w:rFonts w:ascii="Arial" w:eastAsia="Arial" w:hAnsi="Arial"/>
          <w:color w:val="242021"/>
          <w:sz w:val="24"/>
          <w:lang w:val="es-ES"/>
        </w:rPr>
        <w:t xml:space="preserve"> responses. </w:t>
      </w:r>
      <w:proofErr w:type="spellStart"/>
      <w:r>
        <w:rPr>
          <w:rFonts w:ascii="Arial" w:eastAsia="Arial" w:hAnsi="Arial"/>
          <w:color w:val="242021"/>
          <w:sz w:val="24"/>
          <w:lang w:val="es-ES"/>
        </w:rPr>
        <w:t>Immun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Ageing</w:t>
      </w:r>
      <w:proofErr w:type="spellEnd"/>
      <w:r>
        <w:rPr>
          <w:rFonts w:ascii="Arial" w:eastAsia="Arial" w:hAnsi="Arial"/>
          <w:color w:val="242021"/>
          <w:sz w:val="24"/>
          <w:lang w:val="es-ES"/>
        </w:rPr>
        <w:t>. 2019</w:t>
      </w:r>
      <w:proofErr w:type="gramStart"/>
      <w:r>
        <w:rPr>
          <w:rFonts w:ascii="Arial" w:eastAsia="Arial" w:hAnsi="Arial"/>
          <w:color w:val="242021"/>
          <w:sz w:val="24"/>
          <w:lang w:val="es-ES"/>
        </w:rPr>
        <w:t>;16:25</w:t>
      </w:r>
      <w:proofErr w:type="gramEnd"/>
      <w:r>
        <w:rPr>
          <w:rFonts w:ascii="Arial" w:eastAsia="Arial" w:hAnsi="Arial"/>
          <w:color w:val="242021"/>
          <w:sz w:val="24"/>
          <w:lang w:val="es-ES"/>
        </w:rPr>
        <w:t xml:space="preserve">. h </w:t>
      </w:r>
    </w:p>
    <w:p w:rsidR="001E0601" w:rsidRDefault="00567E09">
      <w:pPr>
        <w:numPr>
          <w:ilvl w:val="0"/>
          <w:numId w:val="2"/>
        </w:numPr>
        <w:spacing w:after="160" w:line="259" w:lineRule="exact"/>
        <w:ind w:left="720" w:hanging="360"/>
      </w:pPr>
      <w:proofErr w:type="spellStart"/>
      <w:r>
        <w:rPr>
          <w:rFonts w:ascii="Arial" w:eastAsia="Arial" w:hAnsi="Arial"/>
          <w:color w:val="242021"/>
          <w:sz w:val="24"/>
          <w:lang w:val="es-ES"/>
        </w:rPr>
        <w:t>Ludvigsson</w:t>
      </w:r>
      <w:proofErr w:type="spellEnd"/>
      <w:r>
        <w:rPr>
          <w:rFonts w:ascii="Arial" w:eastAsia="Arial" w:hAnsi="Arial"/>
          <w:color w:val="242021"/>
          <w:sz w:val="24"/>
          <w:lang w:val="es-ES"/>
        </w:rPr>
        <w:t xml:space="preserve"> JF. </w:t>
      </w:r>
      <w:proofErr w:type="spellStart"/>
      <w:r>
        <w:rPr>
          <w:rFonts w:ascii="Arial" w:eastAsia="Arial" w:hAnsi="Arial"/>
          <w:color w:val="242021"/>
          <w:sz w:val="24"/>
          <w:lang w:val="es-ES"/>
        </w:rPr>
        <w:t>Systematic</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review</w:t>
      </w:r>
      <w:proofErr w:type="spellEnd"/>
      <w:r>
        <w:rPr>
          <w:rFonts w:ascii="Arial" w:eastAsia="Arial" w:hAnsi="Arial"/>
          <w:color w:val="242021"/>
          <w:sz w:val="24"/>
          <w:lang w:val="es-ES"/>
        </w:rPr>
        <w:t xml:space="preserve"> of COVID-19 in </w:t>
      </w:r>
      <w:proofErr w:type="spellStart"/>
      <w:r>
        <w:rPr>
          <w:rFonts w:ascii="Arial" w:eastAsia="Arial" w:hAnsi="Arial"/>
          <w:color w:val="242021"/>
          <w:sz w:val="24"/>
          <w:lang w:val="es-ES"/>
        </w:rPr>
        <w:t>children</w:t>
      </w:r>
      <w:proofErr w:type="spellEnd"/>
      <w:r>
        <w:rPr>
          <w:rFonts w:ascii="Arial" w:eastAsia="Arial" w:hAnsi="Arial"/>
          <w:color w:val="242021"/>
          <w:sz w:val="24"/>
          <w:lang w:val="es-ES"/>
        </w:rPr>
        <w:t xml:space="preserve"> shows </w:t>
      </w:r>
      <w:proofErr w:type="spellStart"/>
      <w:r>
        <w:rPr>
          <w:rFonts w:ascii="Arial" w:eastAsia="Arial" w:hAnsi="Arial"/>
          <w:color w:val="242021"/>
          <w:sz w:val="24"/>
          <w:lang w:val="es-ES"/>
        </w:rPr>
        <w:t>milder</w:t>
      </w:r>
      <w:proofErr w:type="spellEnd"/>
      <w:r>
        <w:rPr>
          <w:rFonts w:ascii="Arial" w:eastAsia="Arial" w:hAnsi="Arial"/>
          <w:color w:val="242021"/>
          <w:sz w:val="24"/>
          <w:lang w:val="es-ES"/>
        </w:rPr>
        <w:t xml:space="preserve"> cases and a </w:t>
      </w:r>
      <w:proofErr w:type="spellStart"/>
      <w:r>
        <w:rPr>
          <w:rFonts w:ascii="Arial" w:eastAsia="Arial" w:hAnsi="Arial"/>
          <w:color w:val="242021"/>
          <w:sz w:val="24"/>
          <w:lang w:val="es-ES"/>
        </w:rPr>
        <w:t>better</w:t>
      </w:r>
      <w:proofErr w:type="spellEnd"/>
      <w:r>
        <w:rPr>
          <w:rFonts w:ascii="Arial" w:eastAsia="Arial" w:hAnsi="Arial"/>
          <w:color w:val="242021"/>
          <w:sz w:val="24"/>
          <w:lang w:val="es-ES"/>
        </w:rPr>
        <w:t xml:space="preserve"> prognosis </w:t>
      </w:r>
      <w:proofErr w:type="spellStart"/>
      <w:r>
        <w:rPr>
          <w:rFonts w:ascii="Arial" w:eastAsia="Arial" w:hAnsi="Arial"/>
          <w:color w:val="242021"/>
          <w:sz w:val="24"/>
          <w:lang w:val="es-ES"/>
        </w:rPr>
        <w:t>than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adults</w:t>
      </w:r>
      <w:proofErr w:type="spellEnd"/>
      <w:r>
        <w:rPr>
          <w:rFonts w:ascii="Arial" w:eastAsia="Arial" w:hAnsi="Arial"/>
          <w:color w:val="242021"/>
          <w:sz w:val="24"/>
          <w:lang w:val="es-ES"/>
        </w:rPr>
        <w:t xml:space="preserve">. Acta </w:t>
      </w:r>
      <w:proofErr w:type="spellStart"/>
      <w:r>
        <w:rPr>
          <w:rFonts w:ascii="Arial" w:eastAsia="Arial" w:hAnsi="Arial"/>
          <w:color w:val="242021"/>
          <w:sz w:val="24"/>
          <w:lang w:val="es-ES"/>
        </w:rPr>
        <w:t>Paediatr</w:t>
      </w:r>
      <w:proofErr w:type="spellEnd"/>
      <w:r>
        <w:rPr>
          <w:rFonts w:ascii="Arial" w:eastAsia="Arial" w:hAnsi="Arial"/>
          <w:color w:val="242021"/>
          <w:sz w:val="24"/>
          <w:lang w:val="es-ES"/>
        </w:rPr>
        <w:t>. 2020</w:t>
      </w:r>
      <w:proofErr w:type="gramStart"/>
      <w:r>
        <w:rPr>
          <w:rFonts w:ascii="Arial" w:eastAsia="Arial" w:hAnsi="Arial"/>
          <w:color w:val="242021"/>
          <w:sz w:val="24"/>
          <w:lang w:val="es-ES"/>
        </w:rPr>
        <w:t>;00:1</w:t>
      </w:r>
      <w:proofErr w:type="gramEnd"/>
      <w:r>
        <w:rPr>
          <w:rFonts w:ascii="Arial" w:eastAsia="Arial" w:hAnsi="Arial"/>
          <w:color w:val="242021"/>
          <w:sz w:val="24"/>
          <w:lang w:val="es-ES"/>
        </w:rPr>
        <w:t xml:space="preserve">–8. </w:t>
      </w:r>
      <w:hyperlink r:id="rId9">
        <w:r>
          <w:rPr>
            <w:rStyle w:val="EnlacedeInternet"/>
            <w:rFonts w:ascii="Arial" w:eastAsia="Arial" w:hAnsi="Arial"/>
            <w:color w:val="242021"/>
            <w:sz w:val="24"/>
            <w:lang w:val="es-ES"/>
          </w:rPr>
          <w:t>https://doi.org/10.1111/apa.15270</w:t>
        </w:r>
      </w:hyperlink>
    </w:p>
    <w:p w:rsidR="001E0601" w:rsidRDefault="00567E09">
      <w:pPr>
        <w:numPr>
          <w:ilvl w:val="0"/>
          <w:numId w:val="2"/>
        </w:numPr>
        <w:spacing w:after="160" w:line="259" w:lineRule="exact"/>
        <w:ind w:left="720" w:hanging="360"/>
      </w:pPr>
      <w:r>
        <w:rPr>
          <w:rFonts w:ascii="Arial" w:eastAsia="Arial" w:hAnsi="Arial"/>
          <w:color w:val="242021"/>
          <w:sz w:val="24"/>
          <w:lang w:val="es-ES"/>
        </w:rPr>
        <w:t xml:space="preserve">Fumar en tiempos de COVID-19. Documento de posición. Asociación Argentina de Medicina Respiratoria. 7 de abril 2020. </w:t>
      </w:r>
      <w:hyperlink r:id="rId10">
        <w:r>
          <w:rPr>
            <w:rStyle w:val="EnlacedeInternet"/>
            <w:rFonts w:ascii="Arial" w:eastAsia="Arial" w:hAnsi="Arial"/>
            <w:color w:val="auto"/>
            <w:sz w:val="24"/>
            <w:u w:val="none"/>
            <w:lang w:val="es-ES"/>
          </w:rPr>
          <w:t>https://www.aamr.org.ar/secciones/coronavirus/covid-19-y-tabaco-0604-logos-final.pdf</w:t>
        </w:r>
      </w:hyperlink>
      <w:r>
        <w:rPr>
          <w:rFonts w:ascii="Arial" w:eastAsia="Arial" w:hAnsi="Arial"/>
          <w:sz w:val="24"/>
          <w:lang w:val="es-ES"/>
        </w:rPr>
        <w:t xml:space="preserve"> </w:t>
      </w:r>
    </w:p>
    <w:p w:rsidR="001E0601" w:rsidRDefault="00567E09">
      <w:pPr>
        <w:numPr>
          <w:ilvl w:val="0"/>
          <w:numId w:val="2"/>
        </w:numPr>
        <w:spacing w:after="160" w:line="259" w:lineRule="exact"/>
        <w:ind w:left="720" w:hanging="360"/>
        <w:rPr>
          <w:rFonts w:ascii="Arial" w:hAnsi="Arial"/>
          <w:sz w:val="24"/>
        </w:rPr>
      </w:pPr>
      <w:r>
        <w:rPr>
          <w:rFonts w:ascii="Arial" w:eastAsia="GuardianSansGR-Regular" w:hAnsi="Arial" w:cs="GuardianSansGR-Regular"/>
          <w:color w:val="242021"/>
          <w:sz w:val="24"/>
          <w:lang w:val="es-ES"/>
        </w:rPr>
        <w:t xml:space="preserve">Philip </w:t>
      </w:r>
      <w:proofErr w:type="spellStart"/>
      <w:r>
        <w:rPr>
          <w:rFonts w:ascii="Arial" w:eastAsia="GuardianSansGR-Regular" w:hAnsi="Arial" w:cs="GuardianSansGR-Regular"/>
          <w:color w:val="242021"/>
          <w:sz w:val="24"/>
          <w:lang w:val="es-ES"/>
        </w:rPr>
        <w:t>Zachariah</w:t>
      </w:r>
      <w:proofErr w:type="spellEnd"/>
      <w:r>
        <w:rPr>
          <w:rFonts w:ascii="Arial" w:eastAsia="Calibri" w:hAnsi="Arial" w:cs="Calibri"/>
          <w:sz w:val="24"/>
          <w:lang w:val="es-ES"/>
        </w:rPr>
        <w:t xml:space="preserve">  </w:t>
      </w:r>
      <w:proofErr w:type="spellStart"/>
      <w:r>
        <w:rPr>
          <w:rFonts w:ascii="Arial" w:eastAsia="GuardianSans-Medium" w:hAnsi="Arial" w:cs="GuardianSans-Medium"/>
          <w:color w:val="242021"/>
          <w:sz w:val="24"/>
          <w:lang w:val="es-ES"/>
        </w:rPr>
        <w:t>Epidemiology</w:t>
      </w:r>
      <w:proofErr w:type="spellEnd"/>
      <w:r>
        <w:rPr>
          <w:rFonts w:ascii="Arial" w:eastAsia="GuardianSans-Medium" w:hAnsi="Arial" w:cs="GuardianSans-Medium"/>
          <w:color w:val="242021"/>
          <w:sz w:val="24"/>
          <w:lang w:val="es-ES"/>
        </w:rPr>
        <w:t xml:space="preserve">, </w:t>
      </w:r>
      <w:proofErr w:type="spellStart"/>
      <w:r>
        <w:rPr>
          <w:rFonts w:ascii="Arial" w:eastAsia="GuardianSans-Medium" w:hAnsi="Arial" w:cs="GuardianSans-Medium"/>
          <w:color w:val="242021"/>
          <w:sz w:val="24"/>
          <w:lang w:val="es-ES"/>
        </w:rPr>
        <w:t>Clinical</w:t>
      </w:r>
      <w:proofErr w:type="spellEnd"/>
      <w:r>
        <w:rPr>
          <w:rFonts w:ascii="Arial" w:eastAsia="GuardianSans-Medium" w:hAnsi="Arial" w:cs="GuardianSans-Medium"/>
          <w:color w:val="242021"/>
          <w:sz w:val="24"/>
          <w:lang w:val="es-ES"/>
        </w:rPr>
        <w:t xml:space="preserve"> </w:t>
      </w:r>
      <w:proofErr w:type="spellStart"/>
      <w:r>
        <w:rPr>
          <w:rFonts w:ascii="Arial" w:eastAsia="GuardianSans-Medium" w:hAnsi="Arial" w:cs="GuardianSans-Medium"/>
          <w:color w:val="242021"/>
          <w:sz w:val="24"/>
          <w:lang w:val="es-ES"/>
        </w:rPr>
        <w:t>Features</w:t>
      </w:r>
      <w:proofErr w:type="spellEnd"/>
      <w:r>
        <w:rPr>
          <w:rFonts w:ascii="Arial" w:eastAsia="GuardianSans-Medium" w:hAnsi="Arial" w:cs="GuardianSans-Medium"/>
          <w:color w:val="242021"/>
          <w:sz w:val="24"/>
          <w:lang w:val="es-ES"/>
        </w:rPr>
        <w:t xml:space="preserve">, and </w:t>
      </w:r>
      <w:proofErr w:type="spellStart"/>
      <w:r>
        <w:rPr>
          <w:rFonts w:ascii="Arial" w:eastAsia="GuardianSans-Medium" w:hAnsi="Arial" w:cs="GuardianSans-Medium"/>
          <w:color w:val="242021"/>
          <w:sz w:val="24"/>
          <w:lang w:val="es-ES"/>
        </w:rPr>
        <w:t>Disease</w:t>
      </w:r>
      <w:proofErr w:type="spellEnd"/>
      <w:r>
        <w:rPr>
          <w:rFonts w:ascii="Arial" w:eastAsia="GuardianSans-Medium" w:hAnsi="Arial" w:cs="GuardianSans-Medium"/>
          <w:color w:val="242021"/>
          <w:sz w:val="24"/>
          <w:lang w:val="es-ES"/>
        </w:rPr>
        <w:t xml:space="preserve"> </w:t>
      </w:r>
      <w:proofErr w:type="spellStart"/>
      <w:r>
        <w:rPr>
          <w:rFonts w:ascii="Arial" w:eastAsia="GuardianSans-Medium" w:hAnsi="Arial" w:cs="GuardianSans-Medium"/>
          <w:color w:val="242021"/>
          <w:sz w:val="24"/>
          <w:lang w:val="es-ES"/>
        </w:rPr>
        <w:t>Severity</w:t>
      </w:r>
      <w:proofErr w:type="spellEnd"/>
      <w:r>
        <w:rPr>
          <w:rFonts w:ascii="Arial" w:eastAsia="GuardianSans-Medium" w:hAnsi="Arial" w:cs="GuardianSans-Medium"/>
          <w:color w:val="242021"/>
          <w:sz w:val="24"/>
          <w:lang w:val="es-ES"/>
        </w:rPr>
        <w:t xml:space="preserve"> in </w:t>
      </w:r>
      <w:proofErr w:type="spellStart"/>
      <w:r>
        <w:rPr>
          <w:rFonts w:ascii="Arial" w:eastAsia="GuardianSans-Medium" w:hAnsi="Arial" w:cs="GuardianSans-Medium"/>
          <w:color w:val="242021"/>
          <w:sz w:val="24"/>
          <w:lang w:val="es-ES"/>
        </w:rPr>
        <w:t>Patients</w:t>
      </w:r>
      <w:proofErr w:type="spellEnd"/>
      <w:r>
        <w:rPr>
          <w:rFonts w:ascii="Arial" w:eastAsia="GuardianSans-Medium" w:hAnsi="Arial" w:cs="GuardianSans-Medium"/>
          <w:color w:val="242021"/>
          <w:sz w:val="24"/>
          <w:lang w:val="es-ES"/>
        </w:rPr>
        <w:t xml:space="preserve"> </w:t>
      </w:r>
      <w:proofErr w:type="spellStart"/>
      <w:r>
        <w:rPr>
          <w:rFonts w:ascii="Arial" w:eastAsia="GuardianSans-Medium" w:hAnsi="Arial" w:cs="GuardianSans-Medium"/>
          <w:color w:val="242021"/>
          <w:sz w:val="24"/>
          <w:lang w:val="es-ES"/>
        </w:rPr>
        <w:t>With</w:t>
      </w:r>
      <w:proofErr w:type="spellEnd"/>
      <w:r>
        <w:rPr>
          <w:rFonts w:ascii="Arial" w:eastAsia="GuardianSans-Medium" w:hAnsi="Arial" w:cs="GuardianSans-Medium"/>
          <w:color w:val="242021"/>
          <w:sz w:val="24"/>
          <w:lang w:val="es-ES"/>
        </w:rPr>
        <w:t xml:space="preserve"> Coronavirus </w:t>
      </w:r>
      <w:proofErr w:type="spellStart"/>
      <w:r>
        <w:rPr>
          <w:rFonts w:ascii="Arial" w:eastAsia="GuardianSans-Medium" w:hAnsi="Arial" w:cs="GuardianSans-Medium"/>
          <w:color w:val="242021"/>
          <w:sz w:val="24"/>
          <w:lang w:val="es-ES"/>
        </w:rPr>
        <w:t>Disease</w:t>
      </w:r>
      <w:proofErr w:type="spellEnd"/>
      <w:r>
        <w:rPr>
          <w:rFonts w:ascii="Arial" w:eastAsia="GuardianSans-Medium" w:hAnsi="Arial" w:cs="GuardianSans-Medium"/>
          <w:color w:val="242021"/>
          <w:sz w:val="24"/>
          <w:lang w:val="es-ES"/>
        </w:rPr>
        <w:t xml:space="preserve"> 2019 (COVID-19) in a </w:t>
      </w:r>
      <w:proofErr w:type="spellStart"/>
      <w:r>
        <w:rPr>
          <w:rFonts w:ascii="Arial" w:eastAsia="GuardianSans-Medium" w:hAnsi="Arial" w:cs="GuardianSans-Medium"/>
          <w:color w:val="242021"/>
          <w:sz w:val="24"/>
          <w:lang w:val="es-ES"/>
        </w:rPr>
        <w:t>Children’s</w:t>
      </w:r>
      <w:proofErr w:type="spellEnd"/>
      <w:r>
        <w:rPr>
          <w:rFonts w:ascii="Arial" w:eastAsia="GuardianSans-Medium" w:hAnsi="Arial" w:cs="GuardianSans-Medium"/>
          <w:color w:val="242021"/>
          <w:sz w:val="24"/>
          <w:lang w:val="es-ES"/>
        </w:rPr>
        <w:t xml:space="preserve"> Hospital in New York City, New York </w:t>
      </w:r>
      <w:r>
        <w:rPr>
          <w:rFonts w:ascii="Arial" w:eastAsia="GuardianSans-RegularIt" w:hAnsi="Arial" w:cs="GuardianSans-RegularIt"/>
          <w:i/>
          <w:color w:val="242021"/>
          <w:sz w:val="24"/>
          <w:lang w:val="es-ES"/>
        </w:rPr>
        <w:t xml:space="preserve">JAMA </w:t>
      </w:r>
      <w:proofErr w:type="spellStart"/>
      <w:r>
        <w:rPr>
          <w:rFonts w:ascii="Arial" w:eastAsia="GuardianSans-RegularIt" w:hAnsi="Arial" w:cs="GuardianSans-RegularIt"/>
          <w:i/>
          <w:color w:val="242021"/>
          <w:sz w:val="24"/>
          <w:lang w:val="es-ES"/>
        </w:rPr>
        <w:t>Pediatr</w:t>
      </w:r>
      <w:proofErr w:type="spellEnd"/>
      <w:r>
        <w:rPr>
          <w:rFonts w:ascii="Arial" w:eastAsia="GuardianSansGR-Regular" w:hAnsi="Arial" w:cs="GuardianSansGR-Regular"/>
          <w:color w:val="242021"/>
          <w:sz w:val="24"/>
          <w:lang w:val="es-ES"/>
        </w:rPr>
        <w:t>. doi:</w:t>
      </w:r>
      <w:r>
        <w:rPr>
          <w:rFonts w:ascii="Arial" w:eastAsia="GuardianSansGR-Regular" w:hAnsi="Arial" w:cs="GuardianSansGR-Regular"/>
          <w:color w:val="3B53A4"/>
          <w:sz w:val="24"/>
          <w:lang w:val="es-ES"/>
        </w:rPr>
        <w:t>10.1001/jamapediatrics.2020.2430</w:t>
      </w:r>
      <w:r>
        <w:rPr>
          <w:rFonts w:ascii="Arial" w:eastAsia="GuardianSansGR-Regular" w:hAnsi="Arial" w:cs="GuardianSansGR-Regular"/>
          <w:color w:val="3B53A4"/>
          <w:sz w:val="24"/>
          <w:lang w:val="es-ES"/>
        </w:rPr>
        <w:br/>
      </w:r>
      <w:proofErr w:type="spellStart"/>
      <w:r>
        <w:rPr>
          <w:rFonts w:ascii="Arial" w:eastAsia="GuardianSansGR-Regular" w:hAnsi="Arial" w:cs="GuardianSansGR-Regular"/>
          <w:color w:val="242021"/>
          <w:sz w:val="24"/>
          <w:lang w:val="es-ES"/>
        </w:rPr>
        <w:t>Published</w:t>
      </w:r>
      <w:proofErr w:type="spellEnd"/>
      <w:r>
        <w:rPr>
          <w:rFonts w:ascii="Arial" w:eastAsia="GuardianSansGR-Regular" w:hAnsi="Arial" w:cs="GuardianSansGR-Regular"/>
          <w:color w:val="242021"/>
          <w:sz w:val="24"/>
          <w:lang w:val="es-ES"/>
        </w:rPr>
        <w:t xml:space="preserve"> online June 3, 2020</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color w:val="242021"/>
          <w:sz w:val="24"/>
          <w:lang w:val="es-ES"/>
        </w:rPr>
        <w:t>Jilei</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Lin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The</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isolation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period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should</w:t>
      </w:r>
      <w:proofErr w:type="spellEnd"/>
      <w:r>
        <w:rPr>
          <w:rFonts w:ascii="Arial" w:eastAsia="Arial" w:hAnsi="Arial"/>
          <w:color w:val="242021"/>
          <w:sz w:val="24"/>
          <w:lang w:val="es-ES"/>
        </w:rPr>
        <w:t xml:space="preserve"> be </w:t>
      </w:r>
      <w:proofErr w:type="spellStart"/>
      <w:r>
        <w:rPr>
          <w:rFonts w:ascii="Arial" w:eastAsia="Arial" w:hAnsi="Arial"/>
          <w:color w:val="242021"/>
          <w:sz w:val="24"/>
          <w:lang w:val="es-ES"/>
        </w:rPr>
        <w:t>longer</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Lesson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from</w:t>
      </w:r>
      <w:proofErr w:type="spellEnd"/>
      <w:r>
        <w:rPr>
          <w:rFonts w:ascii="Arial" w:eastAsia="Arial" w:hAnsi="Arial"/>
          <w:color w:val="242021"/>
          <w:sz w:val="24"/>
          <w:lang w:val="es-ES"/>
        </w:rPr>
        <w:t xml:space="preserve"> a </w:t>
      </w:r>
      <w:proofErr w:type="spellStart"/>
      <w:r>
        <w:rPr>
          <w:rFonts w:ascii="Arial" w:eastAsia="Arial" w:hAnsi="Arial"/>
          <w:color w:val="242021"/>
          <w:sz w:val="24"/>
          <w:lang w:val="es-ES"/>
        </w:rPr>
        <w:t>child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infected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with</w:t>
      </w:r>
      <w:proofErr w:type="spellEnd"/>
      <w:r>
        <w:rPr>
          <w:rFonts w:ascii="Arial" w:eastAsia="Arial" w:hAnsi="Arial"/>
          <w:color w:val="242021"/>
          <w:sz w:val="24"/>
          <w:lang w:val="es-ES"/>
        </w:rPr>
        <w:t xml:space="preserve"> SARS‐CoV‐2 in Chongqing, China  </w:t>
      </w:r>
      <w:proofErr w:type="spellStart"/>
      <w:r>
        <w:rPr>
          <w:rFonts w:ascii="Arial" w:eastAsia="Arial" w:hAnsi="Arial"/>
          <w:color w:val="242021"/>
          <w:sz w:val="24"/>
          <w:lang w:val="es-ES"/>
        </w:rPr>
        <w:t>Pediatric</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Pulmonology</w:t>
      </w:r>
      <w:proofErr w:type="spellEnd"/>
      <w:r>
        <w:rPr>
          <w:rFonts w:ascii="Arial" w:eastAsia="Arial" w:hAnsi="Arial"/>
          <w:color w:val="242021"/>
          <w:sz w:val="24"/>
          <w:lang w:val="es-ES"/>
        </w:rPr>
        <w:t xml:space="preserve"> 2020;55:E6-E9</w:t>
      </w:r>
    </w:p>
    <w:p w:rsidR="001E0601" w:rsidRDefault="00567E09">
      <w:pPr>
        <w:numPr>
          <w:ilvl w:val="0"/>
          <w:numId w:val="2"/>
        </w:numPr>
        <w:spacing w:after="160" w:line="259" w:lineRule="exact"/>
        <w:ind w:left="720" w:hanging="360"/>
      </w:pPr>
      <w:r>
        <w:rPr>
          <w:rFonts w:ascii="Arial" w:eastAsia="Arial" w:hAnsi="Arial"/>
          <w:color w:val="242021"/>
          <w:sz w:val="24"/>
          <w:lang w:val="es-ES"/>
        </w:rPr>
        <w:t xml:space="preserve"> </w:t>
      </w:r>
      <w:proofErr w:type="spellStart"/>
      <w:r>
        <w:rPr>
          <w:rFonts w:ascii="Arial" w:eastAsia="Arial" w:hAnsi="Arial"/>
          <w:color w:val="242021"/>
          <w:sz w:val="24"/>
          <w:lang w:val="es-ES"/>
        </w:rPr>
        <w:t>Qin</w:t>
      </w:r>
      <w:proofErr w:type="spellEnd"/>
      <w:r>
        <w:rPr>
          <w:rFonts w:ascii="Arial" w:eastAsia="Arial" w:hAnsi="Arial"/>
          <w:color w:val="242021"/>
          <w:sz w:val="24"/>
          <w:lang w:val="es-ES"/>
        </w:rPr>
        <w:t xml:space="preserve">-Long </w:t>
      </w:r>
      <w:proofErr w:type="spellStart"/>
      <w:r>
        <w:rPr>
          <w:rFonts w:ascii="Arial" w:eastAsia="Arial" w:hAnsi="Arial"/>
          <w:color w:val="242021"/>
          <w:sz w:val="24"/>
          <w:lang w:val="es-ES"/>
        </w:rPr>
        <w:t>Jing</w:t>
      </w:r>
      <w:proofErr w:type="spellEnd"/>
      <w:r>
        <w:rPr>
          <w:rFonts w:ascii="Arial" w:eastAsia="Arial" w:hAnsi="Arial"/>
          <w:color w:val="242021"/>
          <w:sz w:val="24"/>
          <w:lang w:val="es-ES"/>
        </w:rPr>
        <w:t>, Ming-</w:t>
      </w:r>
      <w:proofErr w:type="spellStart"/>
      <w:r>
        <w:rPr>
          <w:rFonts w:ascii="Arial" w:eastAsia="Arial" w:hAnsi="Arial"/>
          <w:color w:val="242021"/>
          <w:sz w:val="24"/>
          <w:lang w:val="es-ES"/>
        </w:rPr>
        <w:t>Jin</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Liu</w:t>
      </w:r>
      <w:proofErr w:type="spellEnd"/>
      <w:r>
        <w:rPr>
          <w:rFonts w:ascii="Arial" w:eastAsia="Arial" w:hAnsi="Arial"/>
          <w:color w:val="242021"/>
          <w:sz w:val="24"/>
          <w:lang w:val="es-ES"/>
        </w:rPr>
        <w:t xml:space="preserve">, Jun Yuan et al, </w:t>
      </w:r>
      <w:proofErr w:type="spellStart"/>
      <w:r>
        <w:rPr>
          <w:rFonts w:ascii="Arial" w:eastAsia="Arial" w:hAnsi="Arial"/>
          <w:color w:val="242021"/>
          <w:sz w:val="24"/>
          <w:lang w:val="es-ES"/>
        </w:rPr>
        <w:t>Household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Secondary</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Attack</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Rate</w:t>
      </w:r>
      <w:proofErr w:type="spellEnd"/>
      <w:r>
        <w:rPr>
          <w:rFonts w:ascii="Arial" w:eastAsia="Arial" w:hAnsi="Arial"/>
          <w:color w:val="242021"/>
          <w:sz w:val="24"/>
          <w:lang w:val="es-ES"/>
        </w:rPr>
        <w:t xml:space="preserve"> of COVID-19 and </w:t>
      </w:r>
      <w:proofErr w:type="spellStart"/>
      <w:r>
        <w:rPr>
          <w:rFonts w:ascii="Arial" w:eastAsia="Arial" w:hAnsi="Arial"/>
          <w:color w:val="242021"/>
          <w:sz w:val="24"/>
          <w:lang w:val="es-ES"/>
        </w:rPr>
        <w:t>Associated</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Determinants</w:t>
      </w:r>
      <w:proofErr w:type="spellEnd"/>
      <w:r>
        <w:rPr>
          <w:rFonts w:ascii="Arial" w:eastAsia="Arial" w:hAnsi="Arial"/>
          <w:color w:val="242021"/>
          <w:sz w:val="24"/>
          <w:lang w:val="es-ES"/>
        </w:rPr>
        <w:t xml:space="preserve">, </w:t>
      </w:r>
      <w:proofErr w:type="spellStart"/>
      <w:r>
        <w:rPr>
          <w:rFonts w:ascii="Arial" w:eastAsia="Arial" w:hAnsi="Arial"/>
          <w:color w:val="242021"/>
          <w:sz w:val="24"/>
          <w:lang w:val="es-ES"/>
        </w:rPr>
        <w:t>medRxiv</w:t>
      </w:r>
      <w:proofErr w:type="spellEnd"/>
      <w:r>
        <w:rPr>
          <w:rFonts w:ascii="Arial" w:eastAsia="Arial" w:hAnsi="Arial"/>
          <w:color w:val="242021"/>
          <w:sz w:val="24"/>
          <w:lang w:val="es-ES"/>
        </w:rPr>
        <w:t xml:space="preserve">, 11th </w:t>
      </w:r>
      <w:proofErr w:type="spellStart"/>
      <w:r>
        <w:rPr>
          <w:rFonts w:ascii="Arial" w:eastAsia="Arial" w:hAnsi="Arial"/>
          <w:color w:val="242021"/>
          <w:sz w:val="24"/>
          <w:lang w:val="es-ES"/>
        </w:rPr>
        <w:t>April</w:t>
      </w:r>
      <w:proofErr w:type="spellEnd"/>
      <w:r>
        <w:rPr>
          <w:rFonts w:ascii="Arial" w:eastAsia="Arial" w:hAnsi="Arial"/>
          <w:color w:val="242021"/>
          <w:sz w:val="24"/>
          <w:lang w:val="es-ES"/>
        </w:rPr>
        <w:t xml:space="preserve"> 2020, </w:t>
      </w:r>
      <w:r>
        <w:rPr>
          <w:rStyle w:val="EnlacedeInternet"/>
          <w:rFonts w:ascii="Arial" w:eastAsia="Arial" w:hAnsi="Arial"/>
          <w:color w:val="242021"/>
          <w:sz w:val="24"/>
          <w:lang w:val="es-ES"/>
        </w:rPr>
        <w:t>https://doi.org/10.1101/2020.04.11.20056010</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GuardianSansGR-Regular" w:hAnsi="Arial" w:cs="GuardianSansGR-Regular"/>
          <w:color w:val="242021"/>
          <w:sz w:val="24"/>
          <w:lang w:val="es-ES"/>
        </w:rPr>
        <w:t>Jiehao</w:t>
      </w:r>
      <w:proofErr w:type="spellEnd"/>
      <w:r>
        <w:rPr>
          <w:rFonts w:ascii="Arial" w:eastAsia="GuardianSansGR-Regular" w:hAnsi="Arial" w:cs="GuardianSansGR-Regular"/>
          <w:color w:val="242021"/>
          <w:sz w:val="24"/>
          <w:lang w:val="es-ES"/>
        </w:rPr>
        <w:t xml:space="preserve"> C, </w:t>
      </w:r>
      <w:proofErr w:type="spellStart"/>
      <w:r>
        <w:rPr>
          <w:rFonts w:ascii="Arial" w:eastAsia="GuardianSansGR-Regular" w:hAnsi="Arial" w:cs="GuardianSansGR-Regular"/>
          <w:color w:val="242021"/>
          <w:sz w:val="24"/>
          <w:lang w:val="es-ES"/>
        </w:rPr>
        <w:t>Jing</w:t>
      </w:r>
      <w:proofErr w:type="spellEnd"/>
      <w:r>
        <w:rPr>
          <w:rFonts w:ascii="Arial" w:eastAsia="GuardianSansGR-Regular" w:hAnsi="Arial" w:cs="GuardianSansGR-Regular"/>
          <w:color w:val="242021"/>
          <w:sz w:val="24"/>
          <w:lang w:val="es-ES"/>
        </w:rPr>
        <w:t xml:space="preserve"> X, </w:t>
      </w:r>
      <w:proofErr w:type="spellStart"/>
      <w:r>
        <w:rPr>
          <w:rFonts w:ascii="Arial" w:eastAsia="GuardianSansGR-Regular" w:hAnsi="Arial" w:cs="GuardianSansGR-Regular"/>
          <w:color w:val="242021"/>
          <w:sz w:val="24"/>
          <w:lang w:val="es-ES"/>
        </w:rPr>
        <w:t>Daojiong</w:t>
      </w:r>
      <w:proofErr w:type="spellEnd"/>
      <w:r>
        <w:rPr>
          <w:rFonts w:ascii="Arial" w:eastAsia="GuardianSansGR-Regular" w:hAnsi="Arial" w:cs="GuardianSansGR-Regular"/>
          <w:color w:val="242021"/>
          <w:sz w:val="24"/>
          <w:lang w:val="es-ES"/>
        </w:rPr>
        <w:t xml:space="preserve"> L, et al. A case series of </w:t>
      </w:r>
      <w:proofErr w:type="spellStart"/>
      <w:r>
        <w:rPr>
          <w:rFonts w:ascii="Arial" w:eastAsia="GuardianSansGR-Regular" w:hAnsi="Arial" w:cs="GuardianSansGR-Regular"/>
          <w:color w:val="242021"/>
          <w:sz w:val="24"/>
          <w:lang w:val="es-ES"/>
        </w:rPr>
        <w:t>children</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with</w:t>
      </w:r>
      <w:proofErr w:type="spellEnd"/>
      <w:r>
        <w:rPr>
          <w:rFonts w:ascii="Arial" w:eastAsia="GuardianSansGR-Regular" w:hAnsi="Arial" w:cs="GuardianSansGR-Regular"/>
          <w:color w:val="242021"/>
          <w:sz w:val="24"/>
          <w:lang w:val="es-ES"/>
        </w:rPr>
        <w:t xml:space="preserve"> 2019 novel coronavirus </w:t>
      </w:r>
      <w:proofErr w:type="spellStart"/>
      <w:r>
        <w:rPr>
          <w:rFonts w:ascii="Arial" w:eastAsia="GuardianSansGR-Regular" w:hAnsi="Arial" w:cs="GuardianSansGR-Regular"/>
          <w:color w:val="242021"/>
          <w:sz w:val="24"/>
          <w:lang w:val="es-ES"/>
        </w:rPr>
        <w:t>infection</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clinical</w:t>
      </w:r>
      <w:proofErr w:type="spellEnd"/>
      <w:r>
        <w:rPr>
          <w:rFonts w:ascii="Arial" w:eastAsia="GuardianSansGR-Regular" w:hAnsi="Arial" w:cs="GuardianSansGR-Regular"/>
          <w:color w:val="242021"/>
          <w:sz w:val="24"/>
          <w:lang w:val="es-ES"/>
        </w:rPr>
        <w:t xml:space="preserve"> and </w:t>
      </w:r>
      <w:proofErr w:type="spellStart"/>
      <w:r>
        <w:rPr>
          <w:rFonts w:ascii="Arial" w:eastAsia="GuardianSansGR-Regular" w:hAnsi="Arial" w:cs="GuardianSansGR-Regular"/>
          <w:color w:val="242021"/>
          <w:sz w:val="24"/>
          <w:lang w:val="es-ES"/>
        </w:rPr>
        <w:t>epidemiological</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features</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Clin</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Infect</w:t>
      </w:r>
      <w:proofErr w:type="spellEnd"/>
      <w:r>
        <w:rPr>
          <w:rFonts w:ascii="Arial" w:eastAsia="GuardianSansGR-Regular" w:hAnsi="Arial" w:cs="GuardianSansGR-Regular"/>
          <w:color w:val="242021"/>
          <w:sz w:val="24"/>
          <w:lang w:val="es-ES"/>
        </w:rPr>
        <w:t xml:space="preserve"> </w:t>
      </w:r>
      <w:proofErr w:type="spellStart"/>
      <w:r>
        <w:rPr>
          <w:rFonts w:ascii="Arial" w:eastAsia="GuardianSansGR-Regular" w:hAnsi="Arial" w:cs="GuardianSansGR-Regular"/>
          <w:color w:val="242021"/>
          <w:sz w:val="24"/>
          <w:lang w:val="es-ES"/>
        </w:rPr>
        <w:t>Dis</w:t>
      </w:r>
      <w:proofErr w:type="spellEnd"/>
      <w:r>
        <w:rPr>
          <w:rFonts w:ascii="Arial" w:eastAsia="GuardianSansGR-Regular" w:hAnsi="Arial" w:cs="GuardianSansGR-Regular"/>
          <w:color w:val="242021"/>
          <w:sz w:val="24"/>
          <w:lang w:val="es-ES"/>
        </w:rPr>
        <w:t xml:space="preserve">. 2020; </w:t>
      </w:r>
      <w:proofErr w:type="spellStart"/>
      <w:r>
        <w:rPr>
          <w:rFonts w:ascii="Arial" w:eastAsia="GuardianSansGR-Regular" w:hAnsi="Arial" w:cs="GuardianSansGR-Regular"/>
          <w:color w:val="242021"/>
          <w:sz w:val="24"/>
          <w:lang w:val="es-ES"/>
        </w:rPr>
        <w:t>doi</w:t>
      </w:r>
      <w:proofErr w:type="spellEnd"/>
      <w:r>
        <w:rPr>
          <w:rFonts w:ascii="Arial" w:eastAsia="GuardianSansGR-Regular" w:hAnsi="Arial" w:cs="GuardianSansGR-Regular"/>
          <w:color w:val="242021"/>
          <w:sz w:val="24"/>
          <w:lang w:val="es-ES"/>
        </w:rPr>
        <w:t xml:space="preserve">: 10.1093/cid/ciaa198 </w:t>
      </w:r>
    </w:p>
    <w:p w:rsidR="001E0601" w:rsidRDefault="00567E09">
      <w:pPr>
        <w:numPr>
          <w:ilvl w:val="0"/>
          <w:numId w:val="2"/>
        </w:numPr>
        <w:spacing w:after="160" w:line="259" w:lineRule="exact"/>
        <w:ind w:left="737" w:hanging="340"/>
        <w:rPr>
          <w:rFonts w:ascii="Arial" w:hAnsi="Arial"/>
          <w:sz w:val="24"/>
        </w:rPr>
      </w:pPr>
      <w:r>
        <w:rPr>
          <w:rFonts w:ascii="Arial" w:eastAsia="Arial" w:hAnsi="Arial"/>
          <w:sz w:val="24"/>
          <w:lang w:val="es-ES"/>
        </w:rPr>
        <w:t xml:space="preserve">Petra </w:t>
      </w:r>
      <w:proofErr w:type="spellStart"/>
      <w:r>
        <w:rPr>
          <w:rFonts w:ascii="Arial" w:eastAsia="Arial" w:hAnsi="Arial"/>
          <w:sz w:val="24"/>
          <w:lang w:val="es-ES"/>
        </w:rPr>
        <w:t>Zimmermann</w:t>
      </w:r>
      <w:proofErr w:type="spellEnd"/>
      <w:r>
        <w:rPr>
          <w:rFonts w:ascii="Arial" w:eastAsia="Arial" w:hAnsi="Arial"/>
          <w:sz w:val="24"/>
          <w:lang w:val="es-ES"/>
        </w:rPr>
        <w:t xml:space="preserve">, </w:t>
      </w:r>
      <w:proofErr w:type="spellStart"/>
      <w:r>
        <w:rPr>
          <w:rFonts w:ascii="Arial" w:eastAsia="Arial" w:hAnsi="Arial"/>
          <w:sz w:val="24"/>
          <w:lang w:val="es-ES"/>
        </w:rPr>
        <w:t>Nigel</w:t>
      </w:r>
      <w:proofErr w:type="spellEnd"/>
      <w:r>
        <w:rPr>
          <w:rFonts w:ascii="Arial" w:eastAsia="Arial" w:hAnsi="Arial"/>
          <w:sz w:val="24"/>
          <w:lang w:val="es-ES"/>
        </w:rPr>
        <w:t xml:space="preserve"> Curtis. Coronavirus </w:t>
      </w:r>
      <w:proofErr w:type="spellStart"/>
      <w:r>
        <w:rPr>
          <w:rFonts w:ascii="Arial" w:eastAsia="Arial" w:hAnsi="Arial"/>
          <w:sz w:val="24"/>
          <w:lang w:val="es-ES"/>
        </w:rPr>
        <w:t>Infections</w:t>
      </w:r>
      <w:proofErr w:type="spellEnd"/>
      <w:r>
        <w:rPr>
          <w:rFonts w:ascii="Arial" w:eastAsia="Arial" w:hAnsi="Arial"/>
          <w:sz w:val="24"/>
          <w:lang w:val="es-ES"/>
        </w:rPr>
        <w:t xml:space="preserve"> in </w:t>
      </w:r>
      <w:proofErr w:type="spellStart"/>
      <w:r>
        <w:rPr>
          <w:rFonts w:ascii="Arial" w:eastAsia="Arial" w:hAnsi="Arial"/>
          <w:sz w:val="24"/>
          <w:lang w:val="es-ES"/>
        </w:rPr>
        <w:t>Children</w:t>
      </w:r>
      <w:proofErr w:type="spellEnd"/>
      <w:r>
        <w:rPr>
          <w:rFonts w:ascii="Arial" w:eastAsia="Arial" w:hAnsi="Arial"/>
          <w:sz w:val="24"/>
          <w:lang w:val="es-ES"/>
        </w:rPr>
        <w:t xml:space="preserve"> </w:t>
      </w:r>
      <w:proofErr w:type="spellStart"/>
      <w:r>
        <w:rPr>
          <w:rFonts w:ascii="Arial" w:eastAsia="Arial" w:hAnsi="Arial"/>
          <w:sz w:val="24"/>
          <w:lang w:val="es-ES"/>
        </w:rPr>
        <w:t>Including</w:t>
      </w:r>
      <w:proofErr w:type="spellEnd"/>
      <w:r>
        <w:rPr>
          <w:rFonts w:ascii="Arial" w:eastAsia="Arial" w:hAnsi="Arial"/>
          <w:sz w:val="24"/>
          <w:lang w:val="es-ES"/>
        </w:rPr>
        <w:t xml:space="preserve"> COVID-19: </w:t>
      </w:r>
      <w:proofErr w:type="spellStart"/>
      <w:r>
        <w:rPr>
          <w:rFonts w:ascii="Arial" w:eastAsia="Arial" w:hAnsi="Arial"/>
          <w:sz w:val="24"/>
          <w:lang w:val="es-ES"/>
        </w:rPr>
        <w:t>An</w:t>
      </w:r>
      <w:proofErr w:type="spellEnd"/>
      <w:r>
        <w:rPr>
          <w:rFonts w:ascii="Arial" w:eastAsia="Arial" w:hAnsi="Arial"/>
          <w:sz w:val="24"/>
          <w:lang w:val="es-ES"/>
        </w:rPr>
        <w:t xml:space="preserve"> </w:t>
      </w:r>
      <w:proofErr w:type="spellStart"/>
      <w:r>
        <w:rPr>
          <w:rFonts w:ascii="Arial" w:eastAsia="Arial" w:hAnsi="Arial"/>
          <w:sz w:val="24"/>
          <w:lang w:val="es-ES"/>
        </w:rPr>
        <w:t>Overview</w:t>
      </w:r>
      <w:proofErr w:type="spellEnd"/>
      <w:r>
        <w:rPr>
          <w:rFonts w:ascii="Arial" w:eastAsia="Arial" w:hAnsi="Arial"/>
          <w:sz w:val="24"/>
          <w:lang w:val="es-ES"/>
        </w:rPr>
        <w:t xml:space="preserve"> of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Epidemiology</w:t>
      </w:r>
      <w:proofErr w:type="spellEnd"/>
      <w:r>
        <w:rPr>
          <w:rFonts w:ascii="Arial" w:eastAsia="Arial" w:hAnsi="Arial"/>
          <w:sz w:val="24"/>
          <w:lang w:val="es-ES"/>
        </w:rPr>
        <w:t xml:space="preserve">, </w:t>
      </w:r>
      <w:proofErr w:type="spellStart"/>
      <w:r>
        <w:rPr>
          <w:rFonts w:ascii="Arial" w:eastAsia="Arial" w:hAnsi="Arial"/>
          <w:sz w:val="24"/>
          <w:lang w:val="es-ES"/>
        </w:rPr>
        <w:t>Clinical</w:t>
      </w:r>
      <w:proofErr w:type="spellEnd"/>
      <w:r>
        <w:rPr>
          <w:rFonts w:ascii="Arial" w:eastAsia="Arial" w:hAnsi="Arial"/>
          <w:sz w:val="24"/>
          <w:lang w:val="es-ES"/>
        </w:rPr>
        <w:t xml:space="preserve"> </w:t>
      </w:r>
      <w:proofErr w:type="spellStart"/>
      <w:r>
        <w:rPr>
          <w:rFonts w:ascii="Arial" w:eastAsia="Arial" w:hAnsi="Arial"/>
          <w:sz w:val="24"/>
          <w:lang w:val="es-ES"/>
        </w:rPr>
        <w:t>Features</w:t>
      </w:r>
      <w:proofErr w:type="spellEnd"/>
      <w:r>
        <w:rPr>
          <w:rFonts w:ascii="Arial" w:eastAsia="Arial" w:hAnsi="Arial"/>
          <w:sz w:val="24"/>
          <w:lang w:val="es-ES"/>
        </w:rPr>
        <w:t xml:space="preserve">, Diagnosis, </w:t>
      </w:r>
      <w:proofErr w:type="spellStart"/>
      <w:r>
        <w:rPr>
          <w:rFonts w:ascii="Arial" w:eastAsia="Arial" w:hAnsi="Arial"/>
          <w:sz w:val="24"/>
          <w:lang w:val="es-ES"/>
        </w:rPr>
        <w:t>Treatment</w:t>
      </w:r>
      <w:proofErr w:type="spellEnd"/>
      <w:r>
        <w:rPr>
          <w:rFonts w:ascii="Arial" w:eastAsia="Arial" w:hAnsi="Arial"/>
          <w:sz w:val="24"/>
          <w:lang w:val="es-ES"/>
        </w:rPr>
        <w:t xml:space="preserve"> and </w:t>
      </w:r>
      <w:proofErr w:type="spellStart"/>
      <w:r>
        <w:rPr>
          <w:rFonts w:ascii="Arial" w:eastAsia="Arial" w:hAnsi="Arial"/>
          <w:sz w:val="24"/>
          <w:lang w:val="es-ES"/>
        </w:rPr>
        <w:t>Prevention</w:t>
      </w:r>
      <w:proofErr w:type="spellEnd"/>
      <w:r>
        <w:rPr>
          <w:rFonts w:ascii="Arial" w:eastAsia="Arial" w:hAnsi="Arial"/>
          <w:sz w:val="24"/>
          <w:lang w:val="es-ES"/>
        </w:rPr>
        <w:t xml:space="preserve"> </w:t>
      </w:r>
      <w:proofErr w:type="spellStart"/>
      <w:r>
        <w:rPr>
          <w:rFonts w:ascii="Arial" w:eastAsia="Arial" w:hAnsi="Arial"/>
          <w:sz w:val="24"/>
          <w:lang w:val="es-ES"/>
        </w:rPr>
        <w:t>Options</w:t>
      </w:r>
      <w:proofErr w:type="spellEnd"/>
      <w:r>
        <w:rPr>
          <w:rFonts w:ascii="Arial" w:eastAsia="Arial" w:hAnsi="Arial"/>
          <w:sz w:val="24"/>
          <w:lang w:val="es-ES"/>
        </w:rPr>
        <w:t xml:space="preserve"> in </w:t>
      </w:r>
      <w:proofErr w:type="spellStart"/>
      <w:r>
        <w:rPr>
          <w:rFonts w:ascii="Arial" w:eastAsia="Arial" w:hAnsi="Arial"/>
          <w:sz w:val="24"/>
          <w:lang w:val="es-ES"/>
        </w:rPr>
        <w:t>Children</w:t>
      </w:r>
      <w:proofErr w:type="spellEnd"/>
      <w:r>
        <w:rPr>
          <w:rFonts w:ascii="Arial" w:eastAsia="Arial" w:hAnsi="Arial"/>
          <w:sz w:val="24"/>
          <w:lang w:val="es-ES"/>
        </w:rPr>
        <w:t xml:space="preserve"> </w:t>
      </w:r>
      <w:proofErr w:type="spellStart"/>
      <w:r>
        <w:rPr>
          <w:rFonts w:ascii="Arial" w:eastAsia="Arial" w:hAnsi="Arial"/>
          <w:sz w:val="24"/>
          <w:lang w:val="es-ES"/>
        </w:rPr>
        <w:t>Af</w:t>
      </w:r>
      <w:proofErr w:type="spellEnd"/>
      <w:r>
        <w:rPr>
          <w:rFonts w:ascii="Arial" w:eastAsia="Arial" w:hAnsi="Arial"/>
          <w:sz w:val="24"/>
          <w:lang w:val="es-ES"/>
        </w:rPr>
        <w:t xml:space="preserve"> </w:t>
      </w:r>
      <w:proofErr w:type="spellStart"/>
      <w:r>
        <w:rPr>
          <w:rFonts w:ascii="Arial" w:eastAsia="Arial" w:hAnsi="Arial"/>
          <w:sz w:val="24"/>
          <w:lang w:val="es-ES"/>
        </w:rPr>
        <w:t>Pediatr</w:t>
      </w:r>
      <w:proofErr w:type="spellEnd"/>
      <w:r>
        <w:rPr>
          <w:rFonts w:ascii="Arial" w:eastAsia="Arial" w:hAnsi="Arial"/>
          <w:sz w:val="24"/>
          <w:lang w:val="es-ES"/>
        </w:rPr>
        <w:t xml:space="preserve"> </w:t>
      </w:r>
      <w:proofErr w:type="spellStart"/>
      <w:r>
        <w:rPr>
          <w:rFonts w:ascii="Arial" w:eastAsia="Arial" w:hAnsi="Arial"/>
          <w:sz w:val="24"/>
          <w:lang w:val="es-ES"/>
        </w:rPr>
        <w:t>Infect</w:t>
      </w:r>
      <w:proofErr w:type="spellEnd"/>
      <w:r>
        <w:rPr>
          <w:rFonts w:ascii="Arial" w:eastAsia="Arial" w:hAnsi="Arial"/>
          <w:sz w:val="24"/>
          <w:lang w:val="es-ES"/>
        </w:rPr>
        <w:t xml:space="preserve"> </w:t>
      </w:r>
      <w:proofErr w:type="spellStart"/>
      <w:r>
        <w:rPr>
          <w:rFonts w:ascii="Arial" w:eastAsia="Arial" w:hAnsi="Arial"/>
          <w:sz w:val="24"/>
          <w:lang w:val="es-ES"/>
        </w:rPr>
        <w:t>Dis</w:t>
      </w:r>
      <w:proofErr w:type="spellEnd"/>
      <w:r>
        <w:rPr>
          <w:rFonts w:ascii="Arial" w:eastAsia="Arial" w:hAnsi="Arial"/>
          <w:sz w:val="24"/>
          <w:lang w:val="es-ES"/>
        </w:rPr>
        <w:t xml:space="preserve"> </w:t>
      </w:r>
      <w:proofErr w:type="gramStart"/>
      <w:r>
        <w:rPr>
          <w:rFonts w:ascii="Arial" w:eastAsia="Arial" w:hAnsi="Arial"/>
          <w:sz w:val="24"/>
          <w:lang w:val="es-ES"/>
        </w:rPr>
        <w:t>J .</w:t>
      </w:r>
      <w:proofErr w:type="gramEnd"/>
      <w:r>
        <w:rPr>
          <w:rFonts w:ascii="Arial" w:eastAsia="Arial" w:hAnsi="Arial"/>
          <w:sz w:val="24"/>
          <w:lang w:val="es-ES"/>
        </w:rPr>
        <w:t xml:space="preserve"> 2020 May</w:t>
      </w:r>
      <w:proofErr w:type="gramStart"/>
      <w:r>
        <w:rPr>
          <w:rFonts w:ascii="Arial" w:eastAsia="Arial" w:hAnsi="Arial"/>
          <w:sz w:val="24"/>
          <w:lang w:val="es-ES"/>
        </w:rPr>
        <w:t>;39</w:t>
      </w:r>
      <w:proofErr w:type="gramEnd"/>
      <w:r>
        <w:rPr>
          <w:rFonts w:ascii="Arial" w:eastAsia="Arial" w:hAnsi="Arial"/>
          <w:sz w:val="24"/>
          <w:lang w:val="es-ES"/>
        </w:rPr>
        <w:t xml:space="preserve">(5):355-368. </w:t>
      </w:r>
      <w:proofErr w:type="spellStart"/>
      <w:r>
        <w:rPr>
          <w:rFonts w:ascii="Arial" w:eastAsia="Arial" w:hAnsi="Arial"/>
          <w:sz w:val="24"/>
          <w:lang w:val="es-ES"/>
        </w:rPr>
        <w:t>doi</w:t>
      </w:r>
      <w:proofErr w:type="spellEnd"/>
      <w:r>
        <w:rPr>
          <w:rFonts w:ascii="Arial" w:eastAsia="Arial" w:hAnsi="Arial"/>
          <w:sz w:val="24"/>
          <w:lang w:val="es-ES"/>
        </w:rPr>
        <w:t xml:space="preserve">: 10.1097/INF.0000000000002660. </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Galván Casas et al. </w:t>
      </w:r>
      <w:proofErr w:type="spellStart"/>
      <w:r>
        <w:rPr>
          <w:rFonts w:ascii="Arial" w:eastAsia="Arial" w:hAnsi="Arial"/>
          <w:sz w:val="24"/>
          <w:lang w:val="es-ES"/>
        </w:rPr>
        <w:t>Classification</w:t>
      </w:r>
      <w:proofErr w:type="spellEnd"/>
      <w:r>
        <w:rPr>
          <w:rFonts w:ascii="Arial" w:eastAsia="Arial" w:hAnsi="Arial"/>
          <w:sz w:val="24"/>
          <w:lang w:val="es-ES"/>
        </w:rPr>
        <w:t xml:space="preserve"> of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cutaneous</w:t>
      </w:r>
      <w:proofErr w:type="spellEnd"/>
      <w:r>
        <w:rPr>
          <w:rFonts w:ascii="Arial" w:eastAsia="Arial" w:hAnsi="Arial"/>
          <w:sz w:val="24"/>
          <w:lang w:val="es-ES"/>
        </w:rPr>
        <w:t xml:space="preserve"> </w:t>
      </w:r>
      <w:proofErr w:type="spellStart"/>
      <w:r>
        <w:rPr>
          <w:rFonts w:ascii="Arial" w:eastAsia="Arial" w:hAnsi="Arial"/>
          <w:sz w:val="24"/>
          <w:lang w:val="es-ES"/>
        </w:rPr>
        <w:t>manifestations</w:t>
      </w:r>
      <w:proofErr w:type="spellEnd"/>
      <w:r>
        <w:rPr>
          <w:rFonts w:ascii="Arial" w:eastAsia="Arial" w:hAnsi="Arial"/>
          <w:sz w:val="24"/>
          <w:lang w:val="es-ES"/>
        </w:rPr>
        <w:t xml:space="preserve"> of COVID‐19: a </w:t>
      </w:r>
      <w:proofErr w:type="spellStart"/>
      <w:r>
        <w:rPr>
          <w:rFonts w:ascii="Arial" w:eastAsia="Arial" w:hAnsi="Arial"/>
          <w:sz w:val="24"/>
          <w:lang w:val="es-ES"/>
        </w:rPr>
        <w:t>rapid</w:t>
      </w:r>
      <w:proofErr w:type="spellEnd"/>
      <w:r>
        <w:rPr>
          <w:rFonts w:ascii="Arial" w:eastAsia="Arial" w:hAnsi="Arial"/>
          <w:sz w:val="24"/>
          <w:lang w:val="es-ES"/>
        </w:rPr>
        <w:t xml:space="preserve"> </w:t>
      </w:r>
      <w:proofErr w:type="spellStart"/>
      <w:r>
        <w:rPr>
          <w:rFonts w:ascii="Arial" w:eastAsia="Arial" w:hAnsi="Arial"/>
          <w:sz w:val="24"/>
          <w:lang w:val="es-ES"/>
        </w:rPr>
        <w:t>prospective</w:t>
      </w:r>
      <w:proofErr w:type="spellEnd"/>
      <w:r>
        <w:rPr>
          <w:rFonts w:ascii="Arial" w:eastAsia="Arial" w:hAnsi="Arial"/>
          <w:sz w:val="24"/>
          <w:lang w:val="es-ES"/>
        </w:rPr>
        <w:t xml:space="preserve"> </w:t>
      </w:r>
      <w:proofErr w:type="spellStart"/>
      <w:r>
        <w:rPr>
          <w:rFonts w:ascii="Arial" w:eastAsia="Arial" w:hAnsi="Arial"/>
          <w:sz w:val="24"/>
          <w:lang w:val="es-ES"/>
        </w:rPr>
        <w:t>nationwide</w:t>
      </w:r>
      <w:proofErr w:type="spellEnd"/>
      <w:r>
        <w:rPr>
          <w:rFonts w:ascii="Arial" w:eastAsia="Arial" w:hAnsi="Arial"/>
          <w:sz w:val="24"/>
          <w:lang w:val="es-ES"/>
        </w:rPr>
        <w:t xml:space="preserve"> </w:t>
      </w:r>
      <w:proofErr w:type="spellStart"/>
      <w:r>
        <w:rPr>
          <w:rFonts w:ascii="Arial" w:eastAsia="Arial" w:hAnsi="Arial"/>
          <w:sz w:val="24"/>
          <w:lang w:val="es-ES"/>
        </w:rPr>
        <w:t>consensus</w:t>
      </w:r>
      <w:proofErr w:type="spellEnd"/>
      <w:r>
        <w:rPr>
          <w:rFonts w:ascii="Arial" w:eastAsia="Arial" w:hAnsi="Arial"/>
          <w:sz w:val="24"/>
          <w:lang w:val="es-ES"/>
        </w:rPr>
        <w:t xml:space="preserve"> </w:t>
      </w:r>
      <w:proofErr w:type="spellStart"/>
      <w:r>
        <w:rPr>
          <w:rFonts w:ascii="Arial" w:eastAsia="Arial" w:hAnsi="Arial"/>
          <w:sz w:val="24"/>
          <w:lang w:val="es-ES"/>
        </w:rPr>
        <w:t>study</w:t>
      </w:r>
      <w:proofErr w:type="spellEnd"/>
      <w:r>
        <w:rPr>
          <w:rFonts w:ascii="Arial" w:eastAsia="Arial" w:hAnsi="Arial"/>
          <w:sz w:val="24"/>
          <w:lang w:val="es-ES"/>
        </w:rPr>
        <w:t xml:space="preserve"> in </w:t>
      </w:r>
      <w:proofErr w:type="spellStart"/>
      <w:r>
        <w:rPr>
          <w:rFonts w:ascii="Arial" w:eastAsia="Arial" w:hAnsi="Arial"/>
          <w:sz w:val="24"/>
          <w:lang w:val="es-ES"/>
        </w:rPr>
        <w:t>Spain</w:t>
      </w:r>
      <w:proofErr w:type="spellEnd"/>
      <w:r>
        <w:rPr>
          <w:rFonts w:ascii="Arial" w:eastAsia="Arial" w:hAnsi="Arial"/>
          <w:sz w:val="24"/>
          <w:lang w:val="es-ES"/>
        </w:rPr>
        <w:t xml:space="preserve"> </w:t>
      </w:r>
      <w:proofErr w:type="spellStart"/>
      <w:r>
        <w:rPr>
          <w:rFonts w:ascii="Arial" w:eastAsia="Arial" w:hAnsi="Arial"/>
          <w:sz w:val="24"/>
          <w:lang w:val="es-ES"/>
        </w:rPr>
        <w:t>with</w:t>
      </w:r>
      <w:proofErr w:type="spellEnd"/>
      <w:r>
        <w:rPr>
          <w:rFonts w:ascii="Arial" w:eastAsia="Arial" w:hAnsi="Arial"/>
          <w:sz w:val="24"/>
          <w:lang w:val="es-ES"/>
        </w:rPr>
        <w:t xml:space="preserve"> 375 cases Br J </w:t>
      </w:r>
      <w:proofErr w:type="spellStart"/>
      <w:r>
        <w:rPr>
          <w:rFonts w:ascii="Arial" w:eastAsia="Arial" w:hAnsi="Arial"/>
          <w:sz w:val="24"/>
          <w:lang w:val="es-ES"/>
        </w:rPr>
        <w:t>Dermatol</w:t>
      </w:r>
      <w:proofErr w:type="spellEnd"/>
      <w:r>
        <w:rPr>
          <w:rFonts w:ascii="Arial" w:eastAsia="Arial" w:hAnsi="Arial"/>
          <w:sz w:val="24"/>
          <w:lang w:val="es-ES"/>
        </w:rPr>
        <w:t xml:space="preserve">. 2020 </w:t>
      </w:r>
      <w:proofErr w:type="spellStart"/>
      <w:r>
        <w:rPr>
          <w:rFonts w:ascii="Arial" w:eastAsia="Arial" w:hAnsi="Arial"/>
          <w:sz w:val="24"/>
          <w:lang w:val="es-ES"/>
        </w:rPr>
        <w:t>Apr</w:t>
      </w:r>
      <w:proofErr w:type="spellEnd"/>
      <w:r>
        <w:rPr>
          <w:rFonts w:ascii="Arial" w:eastAsia="Arial" w:hAnsi="Arial"/>
          <w:sz w:val="24"/>
          <w:lang w:val="es-ES"/>
        </w:rPr>
        <w:t xml:space="preserve"> </w:t>
      </w:r>
      <w:proofErr w:type="gramStart"/>
      <w:r>
        <w:rPr>
          <w:rFonts w:ascii="Arial" w:eastAsia="Arial" w:hAnsi="Arial"/>
          <w:sz w:val="24"/>
          <w:lang w:val="es-ES"/>
        </w:rPr>
        <w:t>29 :</w:t>
      </w:r>
      <w:proofErr w:type="gramEnd"/>
      <w:r>
        <w:rPr>
          <w:rFonts w:ascii="Arial" w:eastAsia="Arial" w:hAnsi="Arial"/>
          <w:sz w:val="24"/>
          <w:lang w:val="es-ES"/>
        </w:rPr>
        <w:t xml:space="preserve"> 10.1111/bjd.19163.</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Singhal</w:t>
      </w:r>
      <w:proofErr w:type="spellEnd"/>
      <w:r>
        <w:rPr>
          <w:rFonts w:ascii="Arial" w:eastAsia="Arial" w:hAnsi="Arial"/>
          <w:sz w:val="24"/>
          <w:lang w:val="es-ES"/>
        </w:rPr>
        <w:t xml:space="preserve"> T. A </w:t>
      </w:r>
      <w:proofErr w:type="spellStart"/>
      <w:r>
        <w:rPr>
          <w:rFonts w:ascii="Arial" w:eastAsia="Arial" w:hAnsi="Arial"/>
          <w:sz w:val="24"/>
          <w:lang w:val="es-ES"/>
        </w:rPr>
        <w:t>Review</w:t>
      </w:r>
      <w:proofErr w:type="spellEnd"/>
      <w:r>
        <w:rPr>
          <w:rFonts w:ascii="Arial" w:eastAsia="Arial" w:hAnsi="Arial"/>
          <w:sz w:val="24"/>
          <w:lang w:val="es-ES"/>
        </w:rPr>
        <w:t xml:space="preserve"> of Coronavirus Disease-2019 (COVID-19). </w:t>
      </w:r>
      <w:proofErr w:type="spellStart"/>
      <w:r>
        <w:rPr>
          <w:rFonts w:ascii="Arial" w:eastAsia="Arial" w:hAnsi="Arial"/>
          <w:sz w:val="24"/>
          <w:lang w:val="es-ES"/>
        </w:rPr>
        <w:t>Indian</w:t>
      </w:r>
      <w:proofErr w:type="spellEnd"/>
      <w:r>
        <w:rPr>
          <w:rFonts w:ascii="Arial" w:eastAsia="Arial" w:hAnsi="Arial"/>
          <w:sz w:val="24"/>
          <w:lang w:val="es-ES"/>
        </w:rPr>
        <w:t xml:space="preserve"> J </w:t>
      </w:r>
      <w:proofErr w:type="spellStart"/>
      <w:r>
        <w:rPr>
          <w:rFonts w:ascii="Arial" w:eastAsia="Arial" w:hAnsi="Arial"/>
          <w:sz w:val="24"/>
          <w:lang w:val="es-ES"/>
        </w:rPr>
        <w:t>Pediatr</w:t>
      </w:r>
      <w:proofErr w:type="spellEnd"/>
      <w:r>
        <w:rPr>
          <w:rFonts w:ascii="Arial" w:eastAsia="Arial" w:hAnsi="Arial"/>
          <w:sz w:val="24"/>
          <w:lang w:val="es-ES"/>
        </w:rPr>
        <w:t>. 2020; 87:281-286</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Mazzotta</w:t>
      </w:r>
      <w:proofErr w:type="spellEnd"/>
      <w:r>
        <w:rPr>
          <w:rFonts w:ascii="Arial" w:eastAsia="Arial" w:hAnsi="Arial"/>
          <w:sz w:val="24"/>
          <w:lang w:val="es-ES"/>
        </w:rPr>
        <w:t xml:space="preserve"> F, </w:t>
      </w:r>
      <w:proofErr w:type="spellStart"/>
      <w:r>
        <w:rPr>
          <w:rFonts w:ascii="Arial" w:eastAsia="Arial" w:hAnsi="Arial"/>
          <w:sz w:val="24"/>
          <w:lang w:val="es-ES"/>
        </w:rPr>
        <w:t>Troccoli</w:t>
      </w:r>
      <w:proofErr w:type="spellEnd"/>
      <w:r>
        <w:rPr>
          <w:rFonts w:ascii="Arial" w:eastAsia="Arial" w:hAnsi="Arial"/>
          <w:sz w:val="24"/>
          <w:lang w:val="es-ES"/>
        </w:rPr>
        <w:t xml:space="preserve"> T. </w:t>
      </w:r>
      <w:proofErr w:type="spellStart"/>
      <w:r>
        <w:rPr>
          <w:rFonts w:ascii="Arial" w:eastAsia="Arial" w:hAnsi="Arial"/>
          <w:sz w:val="24"/>
          <w:lang w:val="es-ES"/>
        </w:rPr>
        <w:t>Acute</w:t>
      </w:r>
      <w:proofErr w:type="spellEnd"/>
      <w:r>
        <w:rPr>
          <w:rFonts w:ascii="Arial" w:eastAsia="Arial" w:hAnsi="Arial"/>
          <w:sz w:val="24"/>
          <w:lang w:val="es-ES"/>
        </w:rPr>
        <w:t xml:space="preserve"> </w:t>
      </w:r>
      <w:proofErr w:type="spellStart"/>
      <w:r>
        <w:rPr>
          <w:rFonts w:ascii="Arial" w:eastAsia="Arial" w:hAnsi="Arial"/>
          <w:sz w:val="24"/>
          <w:lang w:val="es-ES"/>
        </w:rPr>
        <w:t>acro-ischemia</w:t>
      </w:r>
      <w:proofErr w:type="spellEnd"/>
      <w:r>
        <w:rPr>
          <w:rFonts w:ascii="Arial" w:eastAsia="Arial" w:hAnsi="Arial"/>
          <w:sz w:val="24"/>
          <w:lang w:val="es-ES"/>
        </w:rPr>
        <w:t xml:space="preserve"> in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child</w:t>
      </w:r>
      <w:proofErr w:type="spellEnd"/>
      <w:r>
        <w:rPr>
          <w:rFonts w:ascii="Arial" w:eastAsia="Arial" w:hAnsi="Arial"/>
          <w:sz w:val="24"/>
          <w:lang w:val="es-ES"/>
        </w:rPr>
        <w:t xml:space="preserve"> at </w:t>
      </w:r>
      <w:proofErr w:type="spellStart"/>
      <w:r>
        <w:rPr>
          <w:rFonts w:ascii="Arial" w:eastAsia="Arial" w:hAnsi="Arial"/>
          <w:sz w:val="24"/>
          <w:lang w:val="es-ES"/>
        </w:rPr>
        <w:t>the</w:t>
      </w:r>
      <w:proofErr w:type="spellEnd"/>
      <w:r>
        <w:rPr>
          <w:rFonts w:ascii="Arial" w:eastAsia="Arial" w:hAnsi="Arial"/>
          <w:sz w:val="24"/>
          <w:lang w:val="es-ES"/>
        </w:rPr>
        <w:t xml:space="preserve"> time of COVID-19. </w:t>
      </w:r>
      <w:proofErr w:type="spellStart"/>
      <w:r>
        <w:rPr>
          <w:rFonts w:ascii="Arial" w:eastAsia="Arial" w:hAnsi="Arial"/>
          <w:sz w:val="24"/>
          <w:lang w:val="es-ES"/>
        </w:rPr>
        <w:t>Eur</w:t>
      </w:r>
      <w:proofErr w:type="spellEnd"/>
      <w:r>
        <w:rPr>
          <w:rFonts w:ascii="Arial" w:eastAsia="Arial" w:hAnsi="Arial"/>
          <w:sz w:val="24"/>
          <w:lang w:val="es-ES"/>
        </w:rPr>
        <w:t xml:space="preserve">. J. </w:t>
      </w:r>
      <w:proofErr w:type="spellStart"/>
      <w:r>
        <w:rPr>
          <w:rFonts w:ascii="Arial" w:eastAsia="Arial" w:hAnsi="Arial"/>
          <w:sz w:val="24"/>
          <w:lang w:val="es-ES"/>
        </w:rPr>
        <w:t>Pediat.Dermatol</w:t>
      </w:r>
      <w:proofErr w:type="spellEnd"/>
      <w:r>
        <w:rPr>
          <w:rFonts w:ascii="Arial" w:eastAsia="Arial" w:hAnsi="Arial"/>
          <w:sz w:val="24"/>
          <w:lang w:val="es-ES"/>
        </w:rPr>
        <w:t xml:space="preserve"> (web). 2020. Disponible en: https://www.ejpd.com/en/mondayscase.</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 Landa N, Mendieta-</w:t>
      </w:r>
      <w:proofErr w:type="spellStart"/>
      <w:r>
        <w:rPr>
          <w:rFonts w:ascii="Arial" w:eastAsia="Arial" w:hAnsi="Arial"/>
          <w:sz w:val="24"/>
          <w:lang w:val="es-ES"/>
        </w:rPr>
        <w:t>Eckert</w:t>
      </w:r>
      <w:proofErr w:type="spellEnd"/>
      <w:r>
        <w:rPr>
          <w:rFonts w:ascii="Arial" w:eastAsia="Arial" w:hAnsi="Arial"/>
          <w:sz w:val="24"/>
          <w:lang w:val="es-ES"/>
        </w:rPr>
        <w:t xml:space="preserve"> M, Fonda-Pascual P. </w:t>
      </w:r>
      <w:proofErr w:type="spellStart"/>
      <w:r>
        <w:rPr>
          <w:rFonts w:ascii="Arial" w:eastAsia="Arial" w:hAnsi="Arial"/>
          <w:sz w:val="24"/>
          <w:lang w:val="es-ES"/>
        </w:rPr>
        <w:t>Chilblain-like</w:t>
      </w:r>
      <w:proofErr w:type="spellEnd"/>
      <w:r>
        <w:rPr>
          <w:rFonts w:ascii="Arial" w:eastAsia="Arial" w:hAnsi="Arial"/>
          <w:sz w:val="24"/>
          <w:lang w:val="es-ES"/>
        </w:rPr>
        <w:t xml:space="preserve"> </w:t>
      </w:r>
      <w:proofErr w:type="spellStart"/>
      <w:r>
        <w:rPr>
          <w:rFonts w:ascii="Arial" w:eastAsia="Arial" w:hAnsi="Arial"/>
          <w:sz w:val="24"/>
          <w:lang w:val="es-ES"/>
        </w:rPr>
        <w:t>lesions</w:t>
      </w:r>
      <w:proofErr w:type="spellEnd"/>
      <w:r>
        <w:rPr>
          <w:rFonts w:ascii="Arial" w:eastAsia="Arial" w:hAnsi="Arial"/>
          <w:sz w:val="24"/>
          <w:lang w:val="es-ES"/>
        </w:rPr>
        <w:t xml:space="preserve"> </w:t>
      </w:r>
      <w:proofErr w:type="spellStart"/>
      <w:r>
        <w:rPr>
          <w:rFonts w:ascii="Arial" w:eastAsia="Arial" w:hAnsi="Arial"/>
          <w:sz w:val="24"/>
          <w:lang w:val="es-ES"/>
        </w:rPr>
        <w:t>on</w:t>
      </w:r>
      <w:proofErr w:type="spellEnd"/>
      <w:r>
        <w:rPr>
          <w:rFonts w:ascii="Arial" w:eastAsia="Arial" w:hAnsi="Arial"/>
          <w:sz w:val="24"/>
          <w:lang w:val="es-ES"/>
        </w:rPr>
        <w:t xml:space="preserve"> </w:t>
      </w:r>
      <w:proofErr w:type="spellStart"/>
      <w:r>
        <w:rPr>
          <w:rFonts w:ascii="Arial" w:eastAsia="Arial" w:hAnsi="Arial"/>
          <w:sz w:val="24"/>
          <w:lang w:val="es-ES"/>
        </w:rPr>
        <w:t>feet</w:t>
      </w:r>
      <w:proofErr w:type="spellEnd"/>
      <w:r>
        <w:rPr>
          <w:rFonts w:ascii="Arial" w:eastAsia="Arial" w:hAnsi="Arial"/>
          <w:sz w:val="24"/>
          <w:lang w:val="es-ES"/>
        </w:rPr>
        <w:t xml:space="preserve"> and </w:t>
      </w:r>
      <w:proofErr w:type="spellStart"/>
      <w:r>
        <w:rPr>
          <w:rFonts w:ascii="Arial" w:eastAsia="Arial" w:hAnsi="Arial"/>
          <w:sz w:val="24"/>
          <w:lang w:val="es-ES"/>
        </w:rPr>
        <w:t>hands</w:t>
      </w:r>
      <w:proofErr w:type="spellEnd"/>
      <w:r>
        <w:rPr>
          <w:rFonts w:ascii="Arial" w:eastAsia="Arial" w:hAnsi="Arial"/>
          <w:sz w:val="24"/>
          <w:lang w:val="es-ES"/>
        </w:rPr>
        <w:t xml:space="preserve"> </w:t>
      </w:r>
      <w:proofErr w:type="spellStart"/>
      <w:r>
        <w:rPr>
          <w:rFonts w:ascii="Arial" w:eastAsia="Arial" w:hAnsi="Arial"/>
          <w:sz w:val="24"/>
          <w:lang w:val="es-ES"/>
        </w:rPr>
        <w:t>during</w:t>
      </w:r>
      <w:proofErr w:type="spellEnd"/>
      <w:r>
        <w:rPr>
          <w:rFonts w:ascii="Arial" w:eastAsia="Arial" w:hAnsi="Arial"/>
          <w:sz w:val="24"/>
          <w:lang w:val="es-ES"/>
        </w:rPr>
        <w:t xml:space="preserve"> </w:t>
      </w:r>
      <w:proofErr w:type="spellStart"/>
      <w:r>
        <w:rPr>
          <w:rFonts w:ascii="Arial" w:eastAsia="Arial" w:hAnsi="Arial"/>
          <w:sz w:val="24"/>
          <w:lang w:val="es-ES"/>
        </w:rPr>
        <w:t>the</w:t>
      </w:r>
      <w:proofErr w:type="spellEnd"/>
      <w:r>
        <w:rPr>
          <w:rFonts w:ascii="Arial" w:eastAsia="Arial" w:hAnsi="Arial"/>
          <w:sz w:val="24"/>
          <w:lang w:val="es-ES"/>
        </w:rPr>
        <w:t xml:space="preserve"> COVID-19 </w:t>
      </w:r>
      <w:proofErr w:type="spellStart"/>
      <w:r>
        <w:rPr>
          <w:rFonts w:ascii="Arial" w:eastAsia="Arial" w:hAnsi="Arial"/>
          <w:sz w:val="24"/>
          <w:lang w:val="es-ES"/>
        </w:rPr>
        <w:t>Pandemic</w:t>
      </w:r>
      <w:proofErr w:type="spellEnd"/>
      <w:r>
        <w:rPr>
          <w:rFonts w:ascii="Arial" w:eastAsia="Arial" w:hAnsi="Arial"/>
          <w:sz w:val="24"/>
          <w:lang w:val="es-ES"/>
        </w:rPr>
        <w:t xml:space="preserve">. </w:t>
      </w:r>
      <w:proofErr w:type="spellStart"/>
      <w:r>
        <w:rPr>
          <w:rFonts w:ascii="Arial" w:eastAsia="Arial" w:hAnsi="Arial"/>
          <w:sz w:val="24"/>
          <w:lang w:val="es-ES"/>
        </w:rPr>
        <w:t>Int</w:t>
      </w:r>
      <w:proofErr w:type="spellEnd"/>
      <w:r>
        <w:rPr>
          <w:rFonts w:ascii="Arial" w:eastAsia="Arial" w:hAnsi="Arial"/>
          <w:sz w:val="24"/>
          <w:lang w:val="es-ES"/>
        </w:rPr>
        <w:t xml:space="preserve"> J </w:t>
      </w:r>
      <w:proofErr w:type="spellStart"/>
      <w:r>
        <w:rPr>
          <w:rFonts w:ascii="Arial" w:eastAsia="Arial" w:hAnsi="Arial"/>
          <w:sz w:val="24"/>
          <w:lang w:val="es-ES"/>
        </w:rPr>
        <w:t>Dermatol</w:t>
      </w:r>
      <w:proofErr w:type="spellEnd"/>
      <w:r>
        <w:rPr>
          <w:rFonts w:ascii="Arial" w:eastAsia="Arial" w:hAnsi="Arial"/>
          <w:sz w:val="24"/>
          <w:lang w:val="es-ES"/>
        </w:rPr>
        <w:t xml:space="preserve">. </w:t>
      </w:r>
      <w:proofErr w:type="spellStart"/>
      <w:r>
        <w:rPr>
          <w:rFonts w:ascii="Arial" w:eastAsia="Arial" w:hAnsi="Arial"/>
          <w:sz w:val="24"/>
          <w:lang w:val="es-ES"/>
        </w:rPr>
        <w:t>doi</w:t>
      </w:r>
      <w:proofErr w:type="spellEnd"/>
      <w:r>
        <w:rPr>
          <w:rFonts w:ascii="Arial" w:eastAsia="Arial" w:hAnsi="Arial"/>
          <w:sz w:val="24"/>
          <w:lang w:val="es-ES"/>
        </w:rPr>
        <w:t>: 10.1111/ijd.14937.</w:t>
      </w:r>
    </w:p>
    <w:p w:rsidR="001E0601" w:rsidRDefault="00567E09">
      <w:pPr>
        <w:numPr>
          <w:ilvl w:val="0"/>
          <w:numId w:val="2"/>
        </w:numPr>
        <w:spacing w:after="160" w:line="259" w:lineRule="exact"/>
        <w:ind w:left="720" w:hanging="360"/>
      </w:pPr>
      <w:r>
        <w:rPr>
          <w:rFonts w:ascii="Arial" w:eastAsia="Arial" w:hAnsi="Arial"/>
          <w:sz w:val="24"/>
          <w:lang w:val="es-ES"/>
        </w:rPr>
        <w:t xml:space="preserve">COVID-19: Manifestaciones cutáneas. Comité de Dermatología </w:t>
      </w:r>
      <w:hyperlink r:id="rId11">
        <w:r>
          <w:rPr>
            <w:rStyle w:val="EnlacedeInternet"/>
            <w:rFonts w:ascii="Arial" w:eastAsia="Arial" w:hAnsi="Arial"/>
            <w:color w:val="auto"/>
            <w:sz w:val="24"/>
            <w:lang w:val="es-ES"/>
          </w:rPr>
          <w:t>https://www.sap.org.ar/publicaciones/contenidos-extras/23/reuniones-y-documentos-con-actualizacion-permanente-sobre-coronavirus-covid-19.html</w:t>
        </w:r>
      </w:hyperlink>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Lucio </w:t>
      </w:r>
      <w:proofErr w:type="spellStart"/>
      <w:r>
        <w:rPr>
          <w:rFonts w:ascii="Arial" w:eastAsia="Arial" w:hAnsi="Arial"/>
          <w:sz w:val="24"/>
          <w:lang w:val="es-ES"/>
        </w:rPr>
        <w:t>Verdoni</w:t>
      </w:r>
      <w:proofErr w:type="spellEnd"/>
      <w:r>
        <w:rPr>
          <w:rFonts w:ascii="Arial" w:eastAsia="Arial" w:hAnsi="Arial"/>
          <w:sz w:val="24"/>
          <w:lang w:val="es-ES"/>
        </w:rPr>
        <w:t xml:space="preserve">, </w:t>
      </w:r>
      <w:proofErr w:type="spellStart"/>
      <w:r>
        <w:rPr>
          <w:rFonts w:ascii="Arial" w:eastAsia="Arial" w:hAnsi="Arial"/>
          <w:sz w:val="24"/>
          <w:lang w:val="es-ES"/>
        </w:rPr>
        <w:t>Angelo</w:t>
      </w:r>
      <w:proofErr w:type="spellEnd"/>
      <w:r>
        <w:rPr>
          <w:rFonts w:ascii="Arial" w:eastAsia="Arial" w:hAnsi="Arial"/>
          <w:sz w:val="24"/>
          <w:lang w:val="es-ES"/>
        </w:rPr>
        <w:t xml:space="preserve"> Mazza et al </w:t>
      </w:r>
      <w:proofErr w:type="spellStart"/>
      <w:r>
        <w:rPr>
          <w:rFonts w:ascii="Arial" w:eastAsia="Arial" w:hAnsi="Arial"/>
          <w:sz w:val="24"/>
          <w:lang w:val="es-ES"/>
        </w:rPr>
        <w:t>An</w:t>
      </w:r>
      <w:proofErr w:type="spellEnd"/>
      <w:r>
        <w:rPr>
          <w:rFonts w:ascii="Arial" w:eastAsia="Arial" w:hAnsi="Arial"/>
          <w:sz w:val="24"/>
          <w:lang w:val="es-ES"/>
        </w:rPr>
        <w:t xml:space="preserve"> </w:t>
      </w:r>
      <w:proofErr w:type="spellStart"/>
      <w:r>
        <w:rPr>
          <w:rFonts w:ascii="Arial" w:eastAsia="Arial" w:hAnsi="Arial"/>
          <w:sz w:val="24"/>
          <w:lang w:val="es-ES"/>
        </w:rPr>
        <w:t>outbreak</w:t>
      </w:r>
      <w:proofErr w:type="spellEnd"/>
      <w:r>
        <w:rPr>
          <w:rFonts w:ascii="Arial" w:eastAsia="Arial" w:hAnsi="Arial"/>
          <w:sz w:val="24"/>
          <w:lang w:val="es-ES"/>
        </w:rPr>
        <w:t xml:space="preserve"> of </w:t>
      </w:r>
      <w:proofErr w:type="spellStart"/>
      <w:r>
        <w:rPr>
          <w:rFonts w:ascii="Arial" w:eastAsia="Arial" w:hAnsi="Arial"/>
          <w:sz w:val="24"/>
          <w:lang w:val="es-ES"/>
        </w:rPr>
        <w:t>severe</w:t>
      </w:r>
      <w:proofErr w:type="spellEnd"/>
      <w:r>
        <w:rPr>
          <w:rFonts w:ascii="Arial" w:eastAsia="Arial" w:hAnsi="Arial"/>
          <w:sz w:val="24"/>
          <w:lang w:val="es-ES"/>
        </w:rPr>
        <w:t xml:space="preserve"> Kawasaki-</w:t>
      </w:r>
      <w:proofErr w:type="spellStart"/>
      <w:r>
        <w:rPr>
          <w:rFonts w:ascii="Arial" w:eastAsia="Arial" w:hAnsi="Arial"/>
          <w:sz w:val="24"/>
          <w:lang w:val="es-ES"/>
        </w:rPr>
        <w:t>like</w:t>
      </w:r>
      <w:proofErr w:type="spellEnd"/>
      <w:r>
        <w:rPr>
          <w:rFonts w:ascii="Arial" w:eastAsia="Arial" w:hAnsi="Arial"/>
          <w:sz w:val="24"/>
          <w:lang w:val="es-ES"/>
        </w:rPr>
        <w:t xml:space="preserve"> </w:t>
      </w:r>
      <w:proofErr w:type="spellStart"/>
      <w:r>
        <w:rPr>
          <w:rFonts w:ascii="Arial" w:eastAsia="Arial" w:hAnsi="Arial"/>
          <w:sz w:val="24"/>
          <w:lang w:val="es-ES"/>
        </w:rPr>
        <w:t>disease</w:t>
      </w:r>
      <w:proofErr w:type="spellEnd"/>
      <w:r>
        <w:rPr>
          <w:rFonts w:ascii="Arial" w:eastAsia="Arial" w:hAnsi="Arial"/>
          <w:sz w:val="24"/>
          <w:lang w:val="es-ES"/>
        </w:rPr>
        <w:t xml:space="preserve"> at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Italian</w:t>
      </w:r>
      <w:proofErr w:type="spellEnd"/>
      <w:r>
        <w:rPr>
          <w:rFonts w:ascii="Arial" w:eastAsia="Arial" w:hAnsi="Arial"/>
          <w:sz w:val="24"/>
          <w:lang w:val="es-ES"/>
        </w:rPr>
        <w:t xml:space="preserve"> </w:t>
      </w:r>
      <w:proofErr w:type="spellStart"/>
      <w:r>
        <w:rPr>
          <w:rFonts w:ascii="Arial" w:eastAsia="Arial" w:hAnsi="Arial"/>
          <w:sz w:val="24"/>
          <w:lang w:val="es-ES"/>
        </w:rPr>
        <w:t>epicentre</w:t>
      </w:r>
      <w:proofErr w:type="spellEnd"/>
      <w:r>
        <w:rPr>
          <w:rFonts w:ascii="Arial" w:eastAsia="Arial" w:hAnsi="Arial"/>
          <w:sz w:val="24"/>
          <w:lang w:val="es-ES"/>
        </w:rPr>
        <w:t xml:space="preserve"> of </w:t>
      </w:r>
      <w:proofErr w:type="spellStart"/>
      <w:r>
        <w:rPr>
          <w:rFonts w:ascii="Arial" w:eastAsia="Arial" w:hAnsi="Arial"/>
          <w:sz w:val="24"/>
          <w:lang w:val="es-ES"/>
        </w:rPr>
        <w:t>the</w:t>
      </w:r>
      <w:proofErr w:type="spellEnd"/>
      <w:r>
        <w:rPr>
          <w:rFonts w:ascii="Arial" w:eastAsia="Arial" w:hAnsi="Arial"/>
          <w:sz w:val="24"/>
          <w:lang w:val="es-ES"/>
        </w:rPr>
        <w:t xml:space="preserve"> SARS-CoV-2 </w:t>
      </w:r>
      <w:proofErr w:type="spellStart"/>
      <w:r>
        <w:rPr>
          <w:rFonts w:ascii="Arial" w:eastAsia="Arial" w:hAnsi="Arial"/>
          <w:sz w:val="24"/>
          <w:lang w:val="es-ES"/>
        </w:rPr>
        <w:t>epidemic</w:t>
      </w:r>
      <w:proofErr w:type="spellEnd"/>
      <w:r>
        <w:rPr>
          <w:rFonts w:ascii="Arial" w:eastAsia="Arial" w:hAnsi="Arial"/>
          <w:sz w:val="24"/>
          <w:lang w:val="es-ES"/>
        </w:rPr>
        <w:t xml:space="preserve">: </w:t>
      </w:r>
      <w:proofErr w:type="spellStart"/>
      <w:r>
        <w:rPr>
          <w:rFonts w:ascii="Arial" w:eastAsia="Arial" w:hAnsi="Arial"/>
          <w:sz w:val="24"/>
          <w:lang w:val="es-ES"/>
        </w:rPr>
        <w:t>an</w:t>
      </w:r>
      <w:proofErr w:type="spellEnd"/>
      <w:r>
        <w:rPr>
          <w:rFonts w:ascii="Arial" w:eastAsia="Arial" w:hAnsi="Arial"/>
          <w:sz w:val="24"/>
          <w:lang w:val="es-ES"/>
        </w:rPr>
        <w:t xml:space="preserve"> </w:t>
      </w:r>
      <w:proofErr w:type="spellStart"/>
      <w:r>
        <w:rPr>
          <w:rFonts w:ascii="Arial" w:eastAsia="Arial" w:hAnsi="Arial"/>
          <w:sz w:val="24"/>
          <w:lang w:val="es-ES"/>
        </w:rPr>
        <w:t>observational</w:t>
      </w:r>
      <w:proofErr w:type="spellEnd"/>
      <w:r>
        <w:rPr>
          <w:rFonts w:ascii="Arial" w:eastAsia="Arial" w:hAnsi="Arial"/>
          <w:sz w:val="24"/>
          <w:lang w:val="es-ES"/>
        </w:rPr>
        <w:t xml:space="preserve"> </w:t>
      </w:r>
      <w:proofErr w:type="spellStart"/>
      <w:r>
        <w:rPr>
          <w:rFonts w:ascii="Arial" w:eastAsia="Arial" w:hAnsi="Arial"/>
          <w:sz w:val="24"/>
          <w:lang w:val="es-ES"/>
        </w:rPr>
        <w:t>cohort</w:t>
      </w:r>
      <w:proofErr w:type="spellEnd"/>
      <w:r>
        <w:rPr>
          <w:rFonts w:ascii="Arial" w:eastAsia="Arial" w:hAnsi="Arial"/>
          <w:sz w:val="24"/>
          <w:lang w:val="es-ES"/>
        </w:rPr>
        <w:t xml:space="preserve"> </w:t>
      </w:r>
      <w:proofErr w:type="spellStart"/>
      <w:r>
        <w:rPr>
          <w:rFonts w:ascii="Arial" w:eastAsia="Arial" w:hAnsi="Arial"/>
          <w:sz w:val="24"/>
          <w:lang w:val="es-ES"/>
        </w:rPr>
        <w:t>study</w:t>
      </w:r>
      <w:proofErr w:type="spellEnd"/>
      <w:r>
        <w:rPr>
          <w:rFonts w:ascii="Arial" w:eastAsia="Arial" w:hAnsi="Arial"/>
          <w:sz w:val="24"/>
          <w:lang w:val="es-ES"/>
        </w:rPr>
        <w:t xml:space="preserve"> </w:t>
      </w:r>
      <w:proofErr w:type="spellStart"/>
      <w:r>
        <w:rPr>
          <w:rFonts w:ascii="Arial" w:eastAsia="Arial" w:hAnsi="Arial"/>
          <w:sz w:val="24"/>
          <w:lang w:val="es-ES"/>
        </w:rPr>
        <w:t>The</w:t>
      </w:r>
      <w:proofErr w:type="spellEnd"/>
      <w:r>
        <w:rPr>
          <w:rFonts w:ascii="Arial" w:eastAsia="Arial" w:hAnsi="Arial"/>
          <w:sz w:val="24"/>
          <w:lang w:val="es-ES"/>
        </w:rPr>
        <w:t xml:space="preserve"> </w:t>
      </w:r>
      <w:proofErr w:type="spellStart"/>
      <w:r>
        <w:rPr>
          <w:rFonts w:ascii="Arial" w:eastAsia="Arial" w:hAnsi="Arial"/>
          <w:sz w:val="24"/>
          <w:lang w:val="es-ES"/>
        </w:rPr>
        <w:t>Lancet</w:t>
      </w:r>
      <w:proofErr w:type="spellEnd"/>
      <w:r>
        <w:rPr>
          <w:rFonts w:ascii="Arial" w:eastAsia="Arial" w:hAnsi="Arial"/>
          <w:sz w:val="24"/>
          <w:lang w:val="es-ES"/>
        </w:rPr>
        <w:t xml:space="preserve"> </w:t>
      </w:r>
      <w:proofErr w:type="spellStart"/>
      <w:r>
        <w:rPr>
          <w:rFonts w:ascii="Arial" w:eastAsia="Arial" w:hAnsi="Arial"/>
          <w:sz w:val="24"/>
          <w:lang w:val="es-ES"/>
        </w:rPr>
        <w:t>Vol</w:t>
      </w:r>
      <w:proofErr w:type="spellEnd"/>
      <w:r>
        <w:rPr>
          <w:rFonts w:ascii="Arial" w:eastAsia="Arial" w:hAnsi="Arial"/>
          <w:sz w:val="24"/>
          <w:lang w:val="es-ES"/>
        </w:rPr>
        <w:t xml:space="preserve"> 395 June 6, 2020 p.1771-8</w:t>
      </w:r>
    </w:p>
    <w:p w:rsidR="001E0601" w:rsidRDefault="00567E09">
      <w:pPr>
        <w:numPr>
          <w:ilvl w:val="0"/>
          <w:numId w:val="2"/>
        </w:numPr>
        <w:spacing w:after="160" w:line="259" w:lineRule="exact"/>
        <w:ind w:left="737" w:hanging="340"/>
        <w:rPr>
          <w:rFonts w:ascii="Arial" w:hAnsi="Arial"/>
          <w:sz w:val="24"/>
        </w:rPr>
      </w:pPr>
      <w:r>
        <w:rPr>
          <w:rFonts w:ascii="Arial" w:eastAsia="Arial" w:hAnsi="Arial"/>
          <w:sz w:val="24"/>
          <w:lang w:val="es-ES"/>
        </w:rPr>
        <w:t xml:space="preserve">Jones VG, Mills M, Suarez D, et al. COVID-19 and Kawasaki </w:t>
      </w:r>
      <w:proofErr w:type="spellStart"/>
      <w:r>
        <w:rPr>
          <w:rFonts w:ascii="Arial" w:eastAsia="Arial" w:hAnsi="Arial"/>
          <w:sz w:val="24"/>
          <w:lang w:val="es-ES"/>
        </w:rPr>
        <w:t>Disease</w:t>
      </w:r>
      <w:proofErr w:type="spellEnd"/>
      <w:r>
        <w:rPr>
          <w:rFonts w:ascii="Arial" w:eastAsia="Arial" w:hAnsi="Arial"/>
          <w:sz w:val="24"/>
          <w:lang w:val="es-ES"/>
        </w:rPr>
        <w:t xml:space="preserve">: novel virus and novel case. </w:t>
      </w:r>
      <w:proofErr w:type="spellStart"/>
      <w:r>
        <w:rPr>
          <w:rFonts w:ascii="Arial" w:eastAsia="Arial" w:hAnsi="Arial"/>
          <w:sz w:val="24"/>
          <w:lang w:val="es-ES"/>
        </w:rPr>
        <w:t>Hosp</w:t>
      </w:r>
      <w:proofErr w:type="spellEnd"/>
      <w:r>
        <w:rPr>
          <w:rFonts w:ascii="Arial" w:eastAsia="Arial" w:hAnsi="Arial"/>
          <w:sz w:val="24"/>
          <w:lang w:val="es-ES"/>
        </w:rPr>
        <w:t xml:space="preserve"> </w:t>
      </w:r>
      <w:proofErr w:type="spellStart"/>
      <w:r>
        <w:rPr>
          <w:rFonts w:ascii="Arial" w:eastAsia="Arial" w:hAnsi="Arial"/>
          <w:sz w:val="24"/>
          <w:lang w:val="es-ES"/>
        </w:rPr>
        <w:t>Pediatr</w:t>
      </w:r>
      <w:proofErr w:type="spellEnd"/>
      <w:r>
        <w:rPr>
          <w:rFonts w:ascii="Arial" w:eastAsia="Arial" w:hAnsi="Arial"/>
          <w:sz w:val="24"/>
          <w:lang w:val="es-ES"/>
        </w:rPr>
        <w:t xml:space="preserve">. 2020; </w:t>
      </w:r>
      <w:proofErr w:type="spellStart"/>
      <w:r>
        <w:rPr>
          <w:rFonts w:ascii="Arial" w:eastAsia="Arial" w:hAnsi="Arial"/>
          <w:sz w:val="24"/>
          <w:lang w:val="es-ES"/>
        </w:rPr>
        <w:t>doi</w:t>
      </w:r>
      <w:proofErr w:type="spellEnd"/>
      <w:r>
        <w:rPr>
          <w:rFonts w:ascii="Arial" w:eastAsia="Arial" w:hAnsi="Arial"/>
          <w:sz w:val="24"/>
          <w:lang w:val="es-ES"/>
        </w:rPr>
        <w:t xml:space="preserve">: 101542/hpeds.2020-0123 </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Center </w:t>
      </w:r>
      <w:proofErr w:type="spellStart"/>
      <w:r>
        <w:rPr>
          <w:rFonts w:ascii="Arial" w:eastAsia="Arial" w:hAnsi="Arial"/>
          <w:sz w:val="24"/>
          <w:lang w:val="es-ES"/>
        </w:rPr>
        <w:t>for</w:t>
      </w:r>
      <w:proofErr w:type="spellEnd"/>
      <w:r>
        <w:rPr>
          <w:rFonts w:ascii="Arial" w:eastAsia="Arial" w:hAnsi="Arial"/>
          <w:sz w:val="24"/>
          <w:lang w:val="es-ES"/>
        </w:rPr>
        <w:t xml:space="preserve"> </w:t>
      </w:r>
      <w:proofErr w:type="spellStart"/>
      <w:r>
        <w:rPr>
          <w:rFonts w:ascii="Arial" w:eastAsia="Arial" w:hAnsi="Arial"/>
          <w:sz w:val="24"/>
          <w:lang w:val="es-ES"/>
        </w:rPr>
        <w:t>Disease</w:t>
      </w:r>
      <w:proofErr w:type="spellEnd"/>
      <w:r>
        <w:rPr>
          <w:rFonts w:ascii="Arial" w:eastAsia="Arial" w:hAnsi="Arial"/>
          <w:sz w:val="24"/>
          <w:lang w:val="es-ES"/>
        </w:rPr>
        <w:t xml:space="preserve"> Control and </w:t>
      </w:r>
      <w:proofErr w:type="spellStart"/>
      <w:r>
        <w:rPr>
          <w:rFonts w:ascii="Arial" w:eastAsia="Arial" w:hAnsi="Arial"/>
          <w:sz w:val="24"/>
          <w:lang w:val="es-ES"/>
        </w:rPr>
        <w:t>Prevention</w:t>
      </w:r>
      <w:proofErr w:type="spellEnd"/>
      <w:r>
        <w:rPr>
          <w:rFonts w:ascii="Arial" w:eastAsia="Arial" w:hAnsi="Arial"/>
          <w:sz w:val="24"/>
          <w:lang w:val="es-ES"/>
        </w:rPr>
        <w:t xml:space="preserve">, Center </w:t>
      </w:r>
      <w:proofErr w:type="spellStart"/>
      <w:r>
        <w:rPr>
          <w:rFonts w:ascii="Arial" w:eastAsia="Arial" w:hAnsi="Arial"/>
          <w:sz w:val="24"/>
          <w:lang w:val="es-ES"/>
        </w:rPr>
        <w:t>for</w:t>
      </w:r>
      <w:proofErr w:type="spellEnd"/>
      <w:r>
        <w:rPr>
          <w:rFonts w:ascii="Arial" w:eastAsia="Arial" w:hAnsi="Arial"/>
          <w:sz w:val="24"/>
          <w:lang w:val="es-ES"/>
        </w:rPr>
        <w:t xml:space="preserve"> </w:t>
      </w:r>
      <w:proofErr w:type="spellStart"/>
      <w:r>
        <w:rPr>
          <w:rFonts w:ascii="Arial" w:eastAsia="Arial" w:hAnsi="Arial"/>
          <w:sz w:val="24"/>
          <w:lang w:val="es-ES"/>
        </w:rPr>
        <w:t>Preparedness</w:t>
      </w:r>
      <w:proofErr w:type="spellEnd"/>
      <w:r>
        <w:rPr>
          <w:rFonts w:ascii="Arial" w:eastAsia="Arial" w:hAnsi="Arial"/>
          <w:sz w:val="24"/>
          <w:lang w:val="es-ES"/>
        </w:rPr>
        <w:t xml:space="preserve"> and Response: </w:t>
      </w:r>
      <w:proofErr w:type="spellStart"/>
      <w:r>
        <w:rPr>
          <w:rFonts w:ascii="Arial" w:eastAsia="Arial" w:hAnsi="Arial"/>
          <w:sz w:val="24"/>
          <w:lang w:val="es-ES"/>
        </w:rPr>
        <w:t>Multisystem</w:t>
      </w:r>
      <w:proofErr w:type="spellEnd"/>
      <w:r>
        <w:rPr>
          <w:rFonts w:ascii="Arial" w:eastAsia="Arial" w:hAnsi="Arial"/>
          <w:sz w:val="24"/>
          <w:lang w:val="es-ES"/>
        </w:rPr>
        <w:t xml:space="preserve"> </w:t>
      </w:r>
      <w:proofErr w:type="spellStart"/>
      <w:r>
        <w:rPr>
          <w:rFonts w:ascii="Arial" w:eastAsia="Arial" w:hAnsi="Arial"/>
          <w:sz w:val="24"/>
          <w:lang w:val="es-ES"/>
        </w:rPr>
        <w:t>Inflammatory</w:t>
      </w:r>
      <w:proofErr w:type="spellEnd"/>
      <w:r>
        <w:rPr>
          <w:rFonts w:ascii="Arial" w:eastAsia="Arial" w:hAnsi="Arial"/>
          <w:sz w:val="24"/>
          <w:lang w:val="es-ES"/>
        </w:rPr>
        <w:t xml:space="preserve"> </w:t>
      </w:r>
      <w:proofErr w:type="spellStart"/>
      <w:r>
        <w:rPr>
          <w:rFonts w:ascii="Arial" w:eastAsia="Arial" w:hAnsi="Arial"/>
          <w:sz w:val="24"/>
          <w:lang w:val="es-ES"/>
        </w:rPr>
        <w:t>Syndrome</w:t>
      </w:r>
      <w:proofErr w:type="spellEnd"/>
      <w:r>
        <w:rPr>
          <w:rFonts w:ascii="Arial" w:eastAsia="Arial" w:hAnsi="Arial"/>
          <w:sz w:val="24"/>
          <w:lang w:val="es-ES"/>
        </w:rPr>
        <w:t xml:space="preserve"> in </w:t>
      </w:r>
      <w:proofErr w:type="spellStart"/>
      <w:r>
        <w:rPr>
          <w:rFonts w:ascii="Arial" w:eastAsia="Arial" w:hAnsi="Arial"/>
          <w:sz w:val="24"/>
          <w:lang w:val="es-ES"/>
        </w:rPr>
        <w:t>Children</w:t>
      </w:r>
      <w:proofErr w:type="spellEnd"/>
      <w:r>
        <w:rPr>
          <w:rFonts w:ascii="Arial" w:eastAsia="Arial" w:hAnsi="Arial"/>
          <w:sz w:val="24"/>
          <w:lang w:val="es-ES"/>
        </w:rPr>
        <w:t xml:space="preserve"> (MIS-C) </w:t>
      </w:r>
      <w:proofErr w:type="spellStart"/>
      <w:r>
        <w:rPr>
          <w:rFonts w:ascii="Arial" w:eastAsia="Arial" w:hAnsi="Arial"/>
          <w:sz w:val="24"/>
          <w:lang w:val="es-ES"/>
        </w:rPr>
        <w:t>Associated</w:t>
      </w:r>
      <w:proofErr w:type="spellEnd"/>
      <w:r>
        <w:rPr>
          <w:rFonts w:ascii="Arial" w:eastAsia="Arial" w:hAnsi="Arial"/>
          <w:sz w:val="24"/>
          <w:lang w:val="es-ES"/>
        </w:rPr>
        <w:t xml:space="preserve"> </w:t>
      </w:r>
      <w:proofErr w:type="spellStart"/>
      <w:r>
        <w:rPr>
          <w:rFonts w:ascii="Arial" w:eastAsia="Arial" w:hAnsi="Arial"/>
          <w:sz w:val="24"/>
          <w:lang w:val="es-ES"/>
        </w:rPr>
        <w:t>with</w:t>
      </w:r>
      <w:proofErr w:type="spellEnd"/>
      <w:r>
        <w:rPr>
          <w:rFonts w:ascii="Arial" w:eastAsia="Arial" w:hAnsi="Arial"/>
          <w:sz w:val="24"/>
          <w:lang w:val="es-ES"/>
        </w:rPr>
        <w:t xml:space="preserve"> Coronavirus </w:t>
      </w:r>
      <w:proofErr w:type="spellStart"/>
      <w:r>
        <w:rPr>
          <w:rFonts w:ascii="Arial" w:eastAsia="Arial" w:hAnsi="Arial"/>
          <w:sz w:val="24"/>
          <w:lang w:val="es-ES"/>
        </w:rPr>
        <w:t>Disease</w:t>
      </w:r>
      <w:proofErr w:type="spellEnd"/>
      <w:r>
        <w:rPr>
          <w:rFonts w:ascii="Arial" w:eastAsia="Arial" w:hAnsi="Arial"/>
          <w:sz w:val="24"/>
          <w:lang w:val="es-ES"/>
        </w:rPr>
        <w:t xml:space="preserve"> 2019 (COVID-19), </w:t>
      </w:r>
      <w:proofErr w:type="spellStart"/>
      <w:r>
        <w:rPr>
          <w:rFonts w:ascii="Arial" w:eastAsia="Arial" w:hAnsi="Arial"/>
          <w:sz w:val="24"/>
          <w:lang w:val="es-ES"/>
        </w:rPr>
        <w:t>Clinician</w:t>
      </w:r>
      <w:proofErr w:type="spellEnd"/>
      <w:r>
        <w:rPr>
          <w:rFonts w:ascii="Arial" w:eastAsia="Arial" w:hAnsi="Arial"/>
          <w:sz w:val="24"/>
          <w:lang w:val="es-ES"/>
        </w:rPr>
        <w:t xml:space="preserve"> </w:t>
      </w:r>
      <w:proofErr w:type="spellStart"/>
      <w:r>
        <w:rPr>
          <w:rFonts w:ascii="Arial" w:eastAsia="Arial" w:hAnsi="Arial"/>
          <w:sz w:val="24"/>
          <w:lang w:val="es-ES"/>
        </w:rPr>
        <w:t>Outreach</w:t>
      </w:r>
      <w:proofErr w:type="spellEnd"/>
      <w:r>
        <w:rPr>
          <w:rFonts w:ascii="Arial" w:eastAsia="Arial" w:hAnsi="Arial"/>
          <w:sz w:val="24"/>
          <w:lang w:val="es-ES"/>
        </w:rPr>
        <w:t xml:space="preserve"> and </w:t>
      </w:r>
      <w:proofErr w:type="spellStart"/>
      <w:r>
        <w:rPr>
          <w:rFonts w:ascii="Arial" w:eastAsia="Arial" w:hAnsi="Arial"/>
          <w:sz w:val="24"/>
          <w:lang w:val="es-ES"/>
        </w:rPr>
        <w:t>Communication</w:t>
      </w:r>
      <w:proofErr w:type="spellEnd"/>
      <w:r>
        <w:rPr>
          <w:rFonts w:ascii="Arial" w:eastAsia="Arial" w:hAnsi="Arial"/>
          <w:sz w:val="24"/>
          <w:lang w:val="es-ES"/>
        </w:rPr>
        <w:t xml:space="preserve"> (COCA) </w:t>
      </w:r>
      <w:proofErr w:type="spellStart"/>
      <w:r>
        <w:rPr>
          <w:rFonts w:ascii="Arial" w:eastAsia="Arial" w:hAnsi="Arial"/>
          <w:sz w:val="24"/>
          <w:lang w:val="es-ES"/>
        </w:rPr>
        <w:t>Webinar</w:t>
      </w:r>
      <w:proofErr w:type="spellEnd"/>
      <w:r>
        <w:rPr>
          <w:rFonts w:ascii="Arial" w:eastAsia="Arial" w:hAnsi="Arial"/>
          <w:sz w:val="24"/>
          <w:lang w:val="es-ES"/>
        </w:rPr>
        <w:t xml:space="preserve">. </w:t>
      </w:r>
      <w:proofErr w:type="spellStart"/>
      <w:r>
        <w:rPr>
          <w:rFonts w:ascii="Arial" w:eastAsia="Arial" w:hAnsi="Arial"/>
          <w:sz w:val="24"/>
          <w:lang w:val="es-ES"/>
        </w:rPr>
        <w:t>Available</w:t>
      </w:r>
      <w:proofErr w:type="spellEnd"/>
      <w:r>
        <w:rPr>
          <w:rFonts w:ascii="Arial" w:eastAsia="Arial" w:hAnsi="Arial"/>
          <w:sz w:val="24"/>
          <w:lang w:val="es-ES"/>
        </w:rPr>
        <w:t xml:space="preserve"> at: https://emergency.cdc.gov/coca/calls/2020/callinfo_051920.asp?deliveryName=USCDC_1052-DM28623 (</w:t>
      </w:r>
      <w:proofErr w:type="spellStart"/>
      <w:r>
        <w:rPr>
          <w:rFonts w:ascii="Arial" w:eastAsia="Arial" w:hAnsi="Arial"/>
          <w:sz w:val="24"/>
          <w:lang w:val="es-ES"/>
        </w:rPr>
        <w:t>Accessed</w:t>
      </w:r>
      <w:proofErr w:type="spellEnd"/>
      <w:r>
        <w:rPr>
          <w:rFonts w:ascii="Arial" w:eastAsia="Arial" w:hAnsi="Arial"/>
          <w:sz w:val="24"/>
          <w:lang w:val="es-ES"/>
        </w:rPr>
        <w:t xml:space="preserve"> </w:t>
      </w:r>
      <w:proofErr w:type="spellStart"/>
      <w:r>
        <w:rPr>
          <w:rFonts w:ascii="Arial" w:eastAsia="Arial" w:hAnsi="Arial"/>
          <w:sz w:val="24"/>
          <w:lang w:val="es-ES"/>
        </w:rPr>
        <w:t>on</w:t>
      </w:r>
      <w:proofErr w:type="spellEnd"/>
      <w:r>
        <w:rPr>
          <w:rFonts w:ascii="Arial" w:eastAsia="Arial" w:hAnsi="Arial"/>
          <w:sz w:val="24"/>
          <w:lang w:val="es-ES"/>
        </w:rPr>
        <w:t xml:space="preserve"> </w:t>
      </w:r>
      <w:proofErr w:type="spellStart"/>
      <w:r>
        <w:rPr>
          <w:rFonts w:ascii="Arial" w:eastAsia="Arial" w:hAnsi="Arial"/>
          <w:sz w:val="24"/>
          <w:lang w:val="es-ES"/>
        </w:rPr>
        <w:t>May</w:t>
      </w:r>
      <w:proofErr w:type="spellEnd"/>
      <w:r>
        <w:rPr>
          <w:rFonts w:ascii="Arial" w:eastAsia="Arial" w:hAnsi="Arial"/>
          <w:sz w:val="24"/>
          <w:lang w:val="es-ES"/>
        </w:rPr>
        <w:t xml:space="preserve"> 19, 2020).</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Toubiana</w:t>
      </w:r>
      <w:proofErr w:type="spellEnd"/>
      <w:r>
        <w:rPr>
          <w:rFonts w:ascii="Arial" w:eastAsia="Arial" w:hAnsi="Arial"/>
          <w:sz w:val="24"/>
          <w:lang w:val="es-ES"/>
        </w:rPr>
        <w:t xml:space="preserve"> J, </w:t>
      </w:r>
      <w:proofErr w:type="spellStart"/>
      <w:r>
        <w:rPr>
          <w:rFonts w:ascii="Arial" w:eastAsia="Arial" w:hAnsi="Arial"/>
          <w:sz w:val="24"/>
          <w:lang w:val="es-ES"/>
        </w:rPr>
        <w:t>Poirault</w:t>
      </w:r>
      <w:proofErr w:type="spellEnd"/>
      <w:r>
        <w:rPr>
          <w:rFonts w:ascii="Arial" w:eastAsia="Arial" w:hAnsi="Arial"/>
          <w:sz w:val="24"/>
          <w:lang w:val="es-ES"/>
        </w:rPr>
        <w:t xml:space="preserve"> C, </w:t>
      </w:r>
      <w:proofErr w:type="spellStart"/>
      <w:r>
        <w:rPr>
          <w:rFonts w:ascii="Arial" w:eastAsia="Arial" w:hAnsi="Arial"/>
          <w:sz w:val="24"/>
          <w:lang w:val="es-ES"/>
        </w:rPr>
        <w:t>Corsia</w:t>
      </w:r>
      <w:proofErr w:type="spellEnd"/>
      <w:r>
        <w:rPr>
          <w:rFonts w:ascii="Arial" w:eastAsia="Arial" w:hAnsi="Arial"/>
          <w:sz w:val="24"/>
          <w:lang w:val="es-ES"/>
        </w:rPr>
        <w:t xml:space="preserve"> A, et al. Kawasaki-</w:t>
      </w:r>
      <w:proofErr w:type="spellStart"/>
      <w:r>
        <w:rPr>
          <w:rFonts w:ascii="Arial" w:eastAsia="Arial" w:hAnsi="Arial"/>
          <w:sz w:val="24"/>
          <w:lang w:val="es-ES"/>
        </w:rPr>
        <w:t>like</w:t>
      </w:r>
      <w:proofErr w:type="spellEnd"/>
      <w:r>
        <w:rPr>
          <w:rFonts w:ascii="Arial" w:eastAsia="Arial" w:hAnsi="Arial"/>
          <w:sz w:val="24"/>
          <w:lang w:val="es-ES"/>
        </w:rPr>
        <w:t xml:space="preserve"> </w:t>
      </w:r>
      <w:proofErr w:type="spellStart"/>
      <w:r>
        <w:rPr>
          <w:rFonts w:ascii="Arial" w:eastAsia="Arial" w:hAnsi="Arial"/>
          <w:sz w:val="24"/>
          <w:lang w:val="es-ES"/>
        </w:rPr>
        <w:t>multisystem</w:t>
      </w:r>
      <w:proofErr w:type="spellEnd"/>
      <w:r>
        <w:rPr>
          <w:rFonts w:ascii="Arial" w:eastAsia="Arial" w:hAnsi="Arial"/>
          <w:sz w:val="24"/>
          <w:lang w:val="es-ES"/>
        </w:rPr>
        <w:t xml:space="preserve"> </w:t>
      </w:r>
      <w:proofErr w:type="spellStart"/>
      <w:r>
        <w:rPr>
          <w:rFonts w:ascii="Arial" w:eastAsia="Arial" w:hAnsi="Arial"/>
          <w:sz w:val="24"/>
          <w:lang w:val="es-ES"/>
        </w:rPr>
        <w:t>inflammatory</w:t>
      </w:r>
      <w:proofErr w:type="spellEnd"/>
      <w:r>
        <w:rPr>
          <w:rFonts w:ascii="Arial" w:eastAsia="Arial" w:hAnsi="Arial"/>
          <w:sz w:val="24"/>
          <w:lang w:val="es-ES"/>
        </w:rPr>
        <w:t xml:space="preserve"> </w:t>
      </w:r>
      <w:proofErr w:type="spellStart"/>
      <w:r>
        <w:rPr>
          <w:rFonts w:ascii="Arial" w:eastAsia="Arial" w:hAnsi="Arial"/>
          <w:sz w:val="24"/>
          <w:lang w:val="es-ES"/>
        </w:rPr>
        <w:t>syndrome</w:t>
      </w:r>
      <w:proofErr w:type="spellEnd"/>
      <w:r>
        <w:rPr>
          <w:rFonts w:ascii="Arial" w:eastAsia="Arial" w:hAnsi="Arial"/>
          <w:sz w:val="24"/>
          <w:lang w:val="es-ES"/>
        </w:rPr>
        <w:t xml:space="preserve"> in </w:t>
      </w:r>
      <w:proofErr w:type="spellStart"/>
      <w:r>
        <w:rPr>
          <w:rFonts w:ascii="Arial" w:eastAsia="Arial" w:hAnsi="Arial"/>
          <w:sz w:val="24"/>
          <w:lang w:val="es-ES"/>
        </w:rPr>
        <w:t>children</w:t>
      </w:r>
      <w:proofErr w:type="spellEnd"/>
      <w:r>
        <w:rPr>
          <w:rFonts w:ascii="Arial" w:eastAsia="Arial" w:hAnsi="Arial"/>
          <w:sz w:val="24"/>
          <w:lang w:val="es-ES"/>
        </w:rPr>
        <w:t xml:space="preserve"> </w:t>
      </w:r>
      <w:proofErr w:type="spellStart"/>
      <w:r>
        <w:rPr>
          <w:rFonts w:ascii="Arial" w:eastAsia="Arial" w:hAnsi="Arial"/>
          <w:sz w:val="24"/>
          <w:lang w:val="es-ES"/>
        </w:rPr>
        <w:t>during</w:t>
      </w:r>
      <w:proofErr w:type="spellEnd"/>
      <w:r>
        <w:rPr>
          <w:rFonts w:ascii="Arial" w:eastAsia="Arial" w:hAnsi="Arial"/>
          <w:sz w:val="24"/>
          <w:lang w:val="es-ES"/>
        </w:rPr>
        <w:t xml:space="preserve"> </w:t>
      </w:r>
      <w:proofErr w:type="spellStart"/>
      <w:r>
        <w:rPr>
          <w:rFonts w:ascii="Arial" w:eastAsia="Arial" w:hAnsi="Arial"/>
          <w:sz w:val="24"/>
          <w:lang w:val="es-ES"/>
        </w:rPr>
        <w:t>the</w:t>
      </w:r>
      <w:proofErr w:type="spellEnd"/>
      <w:r>
        <w:rPr>
          <w:rFonts w:ascii="Arial" w:eastAsia="Arial" w:hAnsi="Arial"/>
          <w:sz w:val="24"/>
          <w:lang w:val="es-ES"/>
        </w:rPr>
        <w:t xml:space="preserve"> covid-19 </w:t>
      </w:r>
      <w:proofErr w:type="spellStart"/>
      <w:r>
        <w:rPr>
          <w:rFonts w:ascii="Arial" w:eastAsia="Arial" w:hAnsi="Arial"/>
          <w:sz w:val="24"/>
          <w:lang w:val="es-ES"/>
        </w:rPr>
        <w:t>pandemic</w:t>
      </w:r>
      <w:proofErr w:type="spellEnd"/>
      <w:r>
        <w:rPr>
          <w:rFonts w:ascii="Arial" w:eastAsia="Arial" w:hAnsi="Arial"/>
          <w:sz w:val="24"/>
          <w:lang w:val="es-ES"/>
        </w:rPr>
        <w:t xml:space="preserve"> in Paris, France: </w:t>
      </w:r>
      <w:proofErr w:type="spellStart"/>
      <w:r>
        <w:rPr>
          <w:rFonts w:ascii="Arial" w:eastAsia="Arial" w:hAnsi="Arial"/>
          <w:sz w:val="24"/>
          <w:lang w:val="es-ES"/>
        </w:rPr>
        <w:t>prospective</w:t>
      </w:r>
      <w:proofErr w:type="spellEnd"/>
      <w:r>
        <w:rPr>
          <w:rFonts w:ascii="Arial" w:eastAsia="Arial" w:hAnsi="Arial"/>
          <w:sz w:val="24"/>
          <w:lang w:val="es-ES"/>
        </w:rPr>
        <w:t xml:space="preserve"> </w:t>
      </w:r>
      <w:proofErr w:type="spellStart"/>
      <w:r>
        <w:rPr>
          <w:rFonts w:ascii="Arial" w:eastAsia="Arial" w:hAnsi="Arial"/>
          <w:sz w:val="24"/>
          <w:lang w:val="es-ES"/>
        </w:rPr>
        <w:t>observational</w:t>
      </w:r>
      <w:proofErr w:type="spellEnd"/>
      <w:r>
        <w:rPr>
          <w:rFonts w:ascii="Arial" w:eastAsia="Arial" w:hAnsi="Arial"/>
          <w:sz w:val="24"/>
          <w:lang w:val="es-ES"/>
        </w:rPr>
        <w:t xml:space="preserve"> </w:t>
      </w:r>
      <w:proofErr w:type="spellStart"/>
      <w:r>
        <w:rPr>
          <w:rFonts w:ascii="Arial" w:eastAsia="Arial" w:hAnsi="Arial"/>
          <w:sz w:val="24"/>
          <w:lang w:val="es-ES"/>
        </w:rPr>
        <w:t>study</w:t>
      </w:r>
      <w:proofErr w:type="spellEnd"/>
      <w:r>
        <w:rPr>
          <w:rFonts w:ascii="Arial" w:eastAsia="Arial" w:hAnsi="Arial"/>
          <w:sz w:val="24"/>
          <w:lang w:val="es-ES"/>
        </w:rPr>
        <w:t>. BMJ 2020; 369:m2094.</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L.S. </w:t>
      </w:r>
      <w:proofErr w:type="spellStart"/>
      <w:r>
        <w:rPr>
          <w:rFonts w:ascii="Arial" w:eastAsia="Arial" w:hAnsi="Arial"/>
          <w:sz w:val="24"/>
          <w:lang w:val="es-ES"/>
        </w:rPr>
        <w:t>Shekerdemian</w:t>
      </w:r>
      <w:proofErr w:type="spellEnd"/>
      <w:r>
        <w:rPr>
          <w:rFonts w:ascii="Arial" w:eastAsia="Arial" w:hAnsi="Arial"/>
          <w:sz w:val="24"/>
          <w:lang w:val="es-ES"/>
        </w:rPr>
        <w:t>,  N. R. </w:t>
      </w:r>
      <w:proofErr w:type="spellStart"/>
      <w:r>
        <w:rPr>
          <w:rFonts w:ascii="Arial" w:eastAsia="Arial" w:hAnsi="Arial"/>
          <w:sz w:val="24"/>
          <w:lang w:val="es-ES"/>
        </w:rPr>
        <w:t>Mahmood</w:t>
      </w:r>
      <w:proofErr w:type="spellEnd"/>
      <w:r>
        <w:rPr>
          <w:rFonts w:ascii="Arial" w:eastAsia="Arial" w:hAnsi="Arial"/>
          <w:sz w:val="24"/>
          <w:lang w:val="es-ES"/>
        </w:rPr>
        <w:t xml:space="preserve">,  et al </w:t>
      </w:r>
      <w:proofErr w:type="spellStart"/>
      <w:r>
        <w:rPr>
          <w:rFonts w:ascii="Arial" w:eastAsia="Arial" w:hAnsi="Arial"/>
          <w:sz w:val="24"/>
          <w:lang w:val="es-ES"/>
        </w:rPr>
        <w:t>Characteristics</w:t>
      </w:r>
      <w:proofErr w:type="spellEnd"/>
      <w:r>
        <w:rPr>
          <w:rFonts w:ascii="Arial" w:eastAsia="Arial" w:hAnsi="Arial"/>
          <w:sz w:val="24"/>
          <w:lang w:val="es-ES"/>
        </w:rPr>
        <w:t xml:space="preserve"> and </w:t>
      </w:r>
      <w:proofErr w:type="spellStart"/>
      <w:r>
        <w:rPr>
          <w:rFonts w:ascii="Arial" w:eastAsia="Arial" w:hAnsi="Arial"/>
          <w:sz w:val="24"/>
          <w:lang w:val="es-ES"/>
        </w:rPr>
        <w:t>Outcomes</w:t>
      </w:r>
      <w:proofErr w:type="spellEnd"/>
      <w:r>
        <w:rPr>
          <w:rFonts w:ascii="Arial" w:eastAsia="Arial" w:hAnsi="Arial"/>
          <w:sz w:val="24"/>
          <w:lang w:val="es-ES"/>
        </w:rPr>
        <w:t xml:space="preserve"> of </w:t>
      </w:r>
      <w:proofErr w:type="spellStart"/>
      <w:r>
        <w:rPr>
          <w:rFonts w:ascii="Arial" w:eastAsia="Arial" w:hAnsi="Arial"/>
          <w:sz w:val="24"/>
          <w:lang w:val="es-ES"/>
        </w:rPr>
        <w:t>Children</w:t>
      </w:r>
      <w:proofErr w:type="spellEnd"/>
      <w:r>
        <w:rPr>
          <w:rFonts w:ascii="Arial" w:eastAsia="Arial" w:hAnsi="Arial"/>
          <w:sz w:val="24"/>
          <w:lang w:val="es-ES"/>
        </w:rPr>
        <w:t xml:space="preserve"> </w:t>
      </w:r>
      <w:proofErr w:type="spellStart"/>
      <w:r>
        <w:rPr>
          <w:rFonts w:ascii="Arial" w:eastAsia="Arial" w:hAnsi="Arial"/>
          <w:sz w:val="24"/>
          <w:lang w:val="es-ES"/>
        </w:rPr>
        <w:t>With</w:t>
      </w:r>
      <w:proofErr w:type="spellEnd"/>
      <w:r>
        <w:rPr>
          <w:rFonts w:ascii="Arial" w:eastAsia="Arial" w:hAnsi="Arial"/>
          <w:sz w:val="24"/>
          <w:lang w:val="es-ES"/>
        </w:rPr>
        <w:t xml:space="preserve"> Coronavirus </w:t>
      </w:r>
      <w:proofErr w:type="spellStart"/>
      <w:r>
        <w:rPr>
          <w:rFonts w:ascii="Arial" w:eastAsia="Arial" w:hAnsi="Arial"/>
          <w:sz w:val="24"/>
          <w:lang w:val="es-ES"/>
        </w:rPr>
        <w:t>Disease</w:t>
      </w:r>
      <w:proofErr w:type="spellEnd"/>
      <w:r>
        <w:rPr>
          <w:rFonts w:ascii="Arial" w:eastAsia="Arial" w:hAnsi="Arial"/>
          <w:sz w:val="24"/>
          <w:lang w:val="es-ES"/>
        </w:rPr>
        <w:t xml:space="preserve"> 2019 (COVID-19) </w:t>
      </w:r>
      <w:proofErr w:type="spellStart"/>
      <w:r>
        <w:rPr>
          <w:rFonts w:ascii="Arial" w:eastAsia="Arial" w:hAnsi="Arial"/>
          <w:sz w:val="24"/>
          <w:lang w:val="es-ES"/>
        </w:rPr>
        <w:t>Infection</w:t>
      </w:r>
      <w:proofErr w:type="spellEnd"/>
      <w:r>
        <w:rPr>
          <w:rFonts w:ascii="Arial" w:eastAsia="Arial" w:hAnsi="Arial"/>
          <w:sz w:val="24"/>
          <w:lang w:val="es-ES"/>
        </w:rPr>
        <w:t xml:space="preserve"> </w:t>
      </w:r>
      <w:proofErr w:type="spellStart"/>
      <w:r>
        <w:rPr>
          <w:rFonts w:ascii="Arial" w:eastAsia="Arial" w:hAnsi="Arial"/>
          <w:sz w:val="24"/>
          <w:lang w:val="es-ES"/>
        </w:rPr>
        <w:t>Admitted</w:t>
      </w:r>
      <w:proofErr w:type="spellEnd"/>
      <w:r>
        <w:rPr>
          <w:rFonts w:ascii="Arial" w:eastAsia="Arial" w:hAnsi="Arial"/>
          <w:sz w:val="24"/>
          <w:lang w:val="es-ES"/>
        </w:rPr>
        <w:t xml:space="preserve"> to US and Canadian </w:t>
      </w:r>
      <w:proofErr w:type="spellStart"/>
      <w:r>
        <w:rPr>
          <w:rFonts w:ascii="Arial" w:eastAsia="Arial" w:hAnsi="Arial"/>
          <w:sz w:val="24"/>
          <w:lang w:val="es-ES"/>
        </w:rPr>
        <w:t>Pediatric</w:t>
      </w:r>
      <w:proofErr w:type="spellEnd"/>
      <w:r>
        <w:rPr>
          <w:rFonts w:ascii="Arial" w:eastAsia="Arial" w:hAnsi="Arial"/>
          <w:sz w:val="24"/>
          <w:lang w:val="es-ES"/>
        </w:rPr>
        <w:t xml:space="preserve"> </w:t>
      </w:r>
      <w:proofErr w:type="spellStart"/>
      <w:r>
        <w:rPr>
          <w:rFonts w:ascii="Arial" w:eastAsia="Arial" w:hAnsi="Arial"/>
          <w:sz w:val="24"/>
          <w:lang w:val="es-ES"/>
        </w:rPr>
        <w:t>Intensive</w:t>
      </w:r>
      <w:proofErr w:type="spellEnd"/>
      <w:r>
        <w:rPr>
          <w:rFonts w:ascii="Arial" w:eastAsia="Arial" w:hAnsi="Arial"/>
          <w:sz w:val="24"/>
          <w:lang w:val="es-ES"/>
        </w:rPr>
        <w:t xml:space="preserve"> </w:t>
      </w:r>
      <w:proofErr w:type="spellStart"/>
      <w:r>
        <w:rPr>
          <w:rFonts w:ascii="Arial" w:eastAsia="Arial" w:hAnsi="Arial"/>
          <w:sz w:val="24"/>
          <w:lang w:val="es-ES"/>
        </w:rPr>
        <w:t>Care</w:t>
      </w:r>
      <w:proofErr w:type="spellEnd"/>
      <w:r>
        <w:rPr>
          <w:rFonts w:ascii="Arial" w:eastAsia="Arial" w:hAnsi="Arial"/>
          <w:sz w:val="24"/>
          <w:lang w:val="es-ES"/>
        </w:rPr>
        <w:t xml:space="preserve"> </w:t>
      </w:r>
      <w:proofErr w:type="spellStart"/>
      <w:r>
        <w:rPr>
          <w:rFonts w:ascii="Arial" w:eastAsia="Arial" w:hAnsi="Arial"/>
          <w:sz w:val="24"/>
          <w:lang w:val="es-ES"/>
        </w:rPr>
        <w:t>Units</w:t>
      </w:r>
      <w:proofErr w:type="spellEnd"/>
      <w:r>
        <w:rPr>
          <w:rFonts w:ascii="Arial" w:eastAsia="Arial" w:hAnsi="Arial"/>
          <w:sz w:val="24"/>
          <w:lang w:val="es-ES"/>
        </w:rPr>
        <w:t xml:space="preserve"> JAMA </w:t>
      </w:r>
      <w:proofErr w:type="spellStart"/>
      <w:r>
        <w:rPr>
          <w:rFonts w:ascii="Arial" w:eastAsia="Arial" w:hAnsi="Arial"/>
          <w:sz w:val="24"/>
          <w:lang w:val="es-ES"/>
        </w:rPr>
        <w:t>Pediatr</w:t>
      </w:r>
      <w:proofErr w:type="spellEnd"/>
      <w:r>
        <w:rPr>
          <w:rFonts w:ascii="Arial" w:eastAsia="Arial" w:hAnsi="Arial"/>
          <w:sz w:val="24"/>
          <w:lang w:val="es-ES"/>
        </w:rPr>
        <w:t>. </w:t>
      </w:r>
      <w:proofErr w:type="spellStart"/>
      <w:r>
        <w:rPr>
          <w:rFonts w:ascii="Arial" w:eastAsia="Arial" w:hAnsi="Arial"/>
          <w:sz w:val="24"/>
          <w:lang w:val="es-ES"/>
        </w:rPr>
        <w:t>Published</w:t>
      </w:r>
      <w:proofErr w:type="spellEnd"/>
      <w:r>
        <w:rPr>
          <w:rFonts w:ascii="Arial" w:eastAsia="Arial" w:hAnsi="Arial"/>
          <w:sz w:val="24"/>
          <w:lang w:val="es-ES"/>
        </w:rPr>
        <w:t xml:space="preserve"> online </w:t>
      </w:r>
      <w:proofErr w:type="spellStart"/>
      <w:r>
        <w:rPr>
          <w:rFonts w:ascii="Arial" w:eastAsia="Arial" w:hAnsi="Arial"/>
          <w:sz w:val="24"/>
          <w:lang w:val="es-ES"/>
        </w:rPr>
        <w:t>May</w:t>
      </w:r>
      <w:proofErr w:type="spellEnd"/>
      <w:r>
        <w:rPr>
          <w:rFonts w:ascii="Arial" w:eastAsia="Arial" w:hAnsi="Arial"/>
          <w:sz w:val="24"/>
          <w:lang w:val="es-ES"/>
        </w:rPr>
        <w:t xml:space="preserve"> 11, 2020. doi:10.1001/jamapediatrics.2020.1948</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Manejo pediátrico en atención primaria del COVID-19.https://www.mscbs.gob.es/profesionales/saludPublica/ccayes/alertasActual/nCov-China/documentos/Manejo_pediatria_ap.pdf </w:t>
      </w:r>
    </w:p>
    <w:p w:rsidR="001E0601" w:rsidRDefault="00567E09">
      <w:pPr>
        <w:numPr>
          <w:ilvl w:val="0"/>
          <w:numId w:val="2"/>
        </w:numPr>
        <w:spacing w:after="160" w:line="259" w:lineRule="exact"/>
        <w:ind w:left="720" w:hanging="360"/>
      </w:pPr>
      <w:r>
        <w:rPr>
          <w:rFonts w:ascii="Arial" w:eastAsia="Arial" w:hAnsi="Arial"/>
          <w:sz w:val="24"/>
          <w:lang w:val="es-ES"/>
        </w:rPr>
        <w:t xml:space="preserve">Duran et al.  COVID-19 and </w:t>
      </w:r>
      <w:proofErr w:type="spellStart"/>
      <w:r>
        <w:rPr>
          <w:rFonts w:ascii="Arial" w:eastAsia="Arial" w:hAnsi="Arial"/>
          <w:sz w:val="24"/>
          <w:lang w:val="es-ES"/>
        </w:rPr>
        <w:t>newborn</w:t>
      </w:r>
      <w:proofErr w:type="spellEnd"/>
      <w:r>
        <w:rPr>
          <w:rFonts w:ascii="Arial" w:eastAsia="Arial" w:hAnsi="Arial"/>
          <w:sz w:val="24"/>
          <w:lang w:val="es-ES"/>
        </w:rPr>
        <w:t xml:space="preserve"> </w:t>
      </w:r>
      <w:proofErr w:type="spellStart"/>
      <w:r>
        <w:rPr>
          <w:rFonts w:ascii="Arial" w:eastAsia="Arial" w:hAnsi="Arial"/>
          <w:sz w:val="24"/>
          <w:lang w:val="es-ES"/>
        </w:rPr>
        <w:t>health</w:t>
      </w:r>
      <w:proofErr w:type="spellEnd"/>
      <w:r>
        <w:rPr>
          <w:rFonts w:ascii="Arial" w:eastAsia="Arial" w:hAnsi="Arial"/>
          <w:sz w:val="24"/>
          <w:lang w:val="es-ES"/>
        </w:rPr>
        <w:t xml:space="preserve">: </w:t>
      </w:r>
      <w:proofErr w:type="spellStart"/>
      <w:r>
        <w:rPr>
          <w:rFonts w:ascii="Arial" w:eastAsia="Arial" w:hAnsi="Arial"/>
          <w:sz w:val="24"/>
          <w:lang w:val="es-ES"/>
        </w:rPr>
        <w:t>systematic</w:t>
      </w:r>
      <w:proofErr w:type="spellEnd"/>
      <w:r>
        <w:rPr>
          <w:rFonts w:ascii="Arial" w:eastAsia="Arial" w:hAnsi="Arial"/>
          <w:sz w:val="24"/>
          <w:lang w:val="es-ES"/>
        </w:rPr>
        <w:t xml:space="preserve"> </w:t>
      </w:r>
      <w:proofErr w:type="spellStart"/>
      <w:r>
        <w:rPr>
          <w:rFonts w:ascii="Arial" w:eastAsia="Arial" w:hAnsi="Arial"/>
          <w:sz w:val="24"/>
          <w:lang w:val="es-ES"/>
        </w:rPr>
        <w:t>review</w:t>
      </w:r>
      <w:proofErr w:type="spellEnd"/>
      <w:r>
        <w:rPr>
          <w:rFonts w:ascii="Arial" w:eastAsia="Arial" w:hAnsi="Arial"/>
          <w:sz w:val="24"/>
          <w:lang w:val="es-ES"/>
        </w:rPr>
        <w:t xml:space="preserve">. </w:t>
      </w:r>
      <w:proofErr w:type="spellStart"/>
      <w:r>
        <w:rPr>
          <w:rFonts w:ascii="Arial" w:eastAsia="Arial" w:hAnsi="Arial"/>
          <w:sz w:val="24"/>
          <w:lang w:val="es-ES"/>
        </w:rPr>
        <w:t>Rev</w:t>
      </w:r>
      <w:proofErr w:type="spellEnd"/>
      <w:r>
        <w:rPr>
          <w:rFonts w:ascii="Arial" w:eastAsia="Arial" w:hAnsi="Arial"/>
          <w:sz w:val="24"/>
          <w:lang w:val="es-ES"/>
        </w:rPr>
        <w:t xml:space="preserve"> </w:t>
      </w:r>
      <w:proofErr w:type="spellStart"/>
      <w:r>
        <w:rPr>
          <w:rFonts w:ascii="Arial" w:eastAsia="Arial" w:hAnsi="Arial"/>
          <w:sz w:val="24"/>
          <w:lang w:val="es-ES"/>
        </w:rPr>
        <w:t>Panam</w:t>
      </w:r>
      <w:proofErr w:type="spellEnd"/>
      <w:r>
        <w:rPr>
          <w:rFonts w:ascii="Arial" w:eastAsia="Arial" w:hAnsi="Arial"/>
          <w:sz w:val="24"/>
          <w:lang w:val="es-ES"/>
        </w:rPr>
        <w:t xml:space="preserve"> Salud Publica 44, 2020 | www.paho.org/journal | </w:t>
      </w:r>
      <w:r>
        <w:rPr>
          <w:rStyle w:val="EnlacedeInternet"/>
          <w:rFonts w:ascii="Arial" w:eastAsia="Arial" w:hAnsi="Arial"/>
          <w:color w:val="auto"/>
          <w:sz w:val="24"/>
          <w:lang w:val="es-ES"/>
        </w:rPr>
        <w:t>https://doi.org/10.26633/RPSP.2020.54</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COVID-19 - Estrategias atención en UCIN del recién nacido de madre sospechosa o positiva. Recomendaciones 6 de mayo de 2020. Ministerio de Salud de Argentina. </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Isabel N. </w:t>
      </w:r>
      <w:proofErr w:type="spellStart"/>
      <w:r>
        <w:rPr>
          <w:rFonts w:ascii="Arial" w:eastAsia="Arial" w:hAnsi="Arial"/>
          <w:sz w:val="24"/>
          <w:lang w:val="es-ES"/>
        </w:rPr>
        <w:t>Kantor</w:t>
      </w:r>
      <w:proofErr w:type="spellEnd"/>
      <w:r>
        <w:rPr>
          <w:rFonts w:ascii="Arial" w:eastAsia="Arial" w:hAnsi="Arial"/>
          <w:sz w:val="24"/>
          <w:lang w:val="es-ES"/>
        </w:rPr>
        <w:t xml:space="preserve"> ¿BCG versus COVID-19? MEDICINA (Buenos Aires) 2020; 80: 1</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Bacille</w:t>
      </w:r>
      <w:proofErr w:type="spellEnd"/>
      <w:r>
        <w:rPr>
          <w:rFonts w:ascii="Arial" w:eastAsia="Arial" w:hAnsi="Arial"/>
          <w:sz w:val="24"/>
          <w:lang w:val="es-ES"/>
        </w:rPr>
        <w:t xml:space="preserve"> </w:t>
      </w:r>
      <w:proofErr w:type="spellStart"/>
      <w:r>
        <w:rPr>
          <w:rFonts w:ascii="Arial" w:eastAsia="Arial" w:hAnsi="Arial"/>
          <w:sz w:val="24"/>
          <w:lang w:val="es-ES"/>
        </w:rPr>
        <w:t>Calmette-Guérin</w:t>
      </w:r>
      <w:proofErr w:type="spellEnd"/>
      <w:r>
        <w:rPr>
          <w:rFonts w:ascii="Arial" w:eastAsia="Arial" w:hAnsi="Arial"/>
          <w:sz w:val="24"/>
          <w:lang w:val="es-ES"/>
        </w:rPr>
        <w:t xml:space="preserve"> (BCG) </w:t>
      </w:r>
      <w:proofErr w:type="spellStart"/>
      <w:r>
        <w:rPr>
          <w:rFonts w:ascii="Arial" w:eastAsia="Arial" w:hAnsi="Arial"/>
          <w:sz w:val="24"/>
          <w:lang w:val="es-ES"/>
        </w:rPr>
        <w:t>vaccination</w:t>
      </w:r>
      <w:proofErr w:type="spellEnd"/>
      <w:r>
        <w:rPr>
          <w:rFonts w:ascii="Arial" w:eastAsia="Arial" w:hAnsi="Arial"/>
          <w:sz w:val="24"/>
          <w:lang w:val="es-ES"/>
        </w:rPr>
        <w:t xml:space="preserve"> and COVID-19. </w:t>
      </w:r>
      <w:proofErr w:type="spellStart"/>
      <w:r>
        <w:rPr>
          <w:rFonts w:ascii="Arial" w:eastAsia="Arial" w:hAnsi="Arial"/>
          <w:sz w:val="24"/>
          <w:lang w:val="es-ES"/>
        </w:rPr>
        <w:t>Scientific</w:t>
      </w:r>
      <w:proofErr w:type="spellEnd"/>
      <w:r>
        <w:rPr>
          <w:rFonts w:ascii="Arial" w:eastAsia="Arial" w:hAnsi="Arial"/>
          <w:sz w:val="24"/>
          <w:lang w:val="es-ES"/>
        </w:rPr>
        <w:t xml:space="preserve"> </w:t>
      </w:r>
      <w:proofErr w:type="spellStart"/>
      <w:r>
        <w:rPr>
          <w:rFonts w:ascii="Arial" w:eastAsia="Arial" w:hAnsi="Arial"/>
          <w:sz w:val="24"/>
          <w:lang w:val="es-ES"/>
        </w:rPr>
        <w:t>brief</w:t>
      </w:r>
      <w:proofErr w:type="spellEnd"/>
      <w:r>
        <w:rPr>
          <w:rFonts w:ascii="Arial" w:eastAsia="Arial" w:hAnsi="Arial"/>
          <w:sz w:val="24"/>
          <w:lang w:val="es-ES"/>
        </w:rPr>
        <w:t xml:space="preserve">. 12 </w:t>
      </w:r>
      <w:proofErr w:type="spellStart"/>
      <w:r>
        <w:rPr>
          <w:rFonts w:ascii="Arial" w:eastAsia="Arial" w:hAnsi="Arial"/>
          <w:sz w:val="24"/>
          <w:lang w:val="es-ES"/>
        </w:rPr>
        <w:t>April</w:t>
      </w:r>
      <w:proofErr w:type="spellEnd"/>
      <w:r>
        <w:rPr>
          <w:rFonts w:ascii="Arial" w:eastAsia="Arial" w:hAnsi="Arial"/>
          <w:sz w:val="24"/>
          <w:lang w:val="es-ES"/>
        </w:rPr>
        <w:t xml:space="preserve"> 2020.  https://www.who.int/news-room/commentaries/detail/bacille-calmette-gu%C3%A9rin-(bcg)-vaccination-and-covid-19</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BCG </w:t>
      </w:r>
      <w:proofErr w:type="spellStart"/>
      <w:r>
        <w:rPr>
          <w:rFonts w:ascii="Arial" w:eastAsia="Arial" w:hAnsi="Arial"/>
          <w:sz w:val="24"/>
          <w:lang w:val="es-ES"/>
        </w:rPr>
        <w:t>vaccines</w:t>
      </w:r>
      <w:proofErr w:type="spellEnd"/>
      <w:r>
        <w:rPr>
          <w:rFonts w:ascii="Arial" w:eastAsia="Arial" w:hAnsi="Arial"/>
          <w:sz w:val="24"/>
          <w:lang w:val="es-ES"/>
        </w:rPr>
        <w:t xml:space="preserve">: WHO position </w:t>
      </w:r>
      <w:proofErr w:type="spellStart"/>
      <w:r>
        <w:rPr>
          <w:rFonts w:ascii="Arial" w:eastAsia="Arial" w:hAnsi="Arial"/>
          <w:sz w:val="24"/>
          <w:lang w:val="es-ES"/>
        </w:rPr>
        <w:t>paper</w:t>
      </w:r>
      <w:proofErr w:type="spellEnd"/>
      <w:r>
        <w:rPr>
          <w:rFonts w:ascii="Arial" w:eastAsia="Arial" w:hAnsi="Arial"/>
          <w:sz w:val="24"/>
          <w:lang w:val="es-ES"/>
        </w:rPr>
        <w:t xml:space="preserve"> – </w:t>
      </w:r>
      <w:proofErr w:type="spellStart"/>
      <w:r>
        <w:rPr>
          <w:rFonts w:ascii="Arial" w:eastAsia="Arial" w:hAnsi="Arial"/>
          <w:sz w:val="24"/>
          <w:lang w:val="es-ES"/>
        </w:rPr>
        <w:t>February</w:t>
      </w:r>
      <w:proofErr w:type="spellEnd"/>
      <w:r>
        <w:rPr>
          <w:rFonts w:ascii="Arial" w:eastAsia="Arial" w:hAnsi="Arial"/>
          <w:sz w:val="24"/>
          <w:lang w:val="es-ES"/>
        </w:rPr>
        <w:t xml:space="preserve"> 2018</w:t>
      </w:r>
    </w:p>
    <w:p w:rsidR="001E0601" w:rsidRDefault="00567E09">
      <w:pPr>
        <w:numPr>
          <w:ilvl w:val="0"/>
          <w:numId w:val="2"/>
        </w:numPr>
        <w:spacing w:after="160" w:line="259" w:lineRule="exact"/>
        <w:ind w:left="720" w:hanging="360"/>
      </w:pPr>
      <w:r>
        <w:rPr>
          <w:rFonts w:ascii="Arial" w:eastAsia="Arial" w:hAnsi="Arial"/>
          <w:sz w:val="24"/>
          <w:lang w:val="es-ES"/>
        </w:rPr>
        <w:t xml:space="preserve"> Calendario Nacional de Vacunación </w:t>
      </w:r>
      <w:hyperlink r:id="rId12">
        <w:r>
          <w:rPr>
            <w:rStyle w:val="EnlacedeInternet"/>
            <w:rFonts w:ascii="Arial" w:eastAsia="Arial" w:hAnsi="Arial"/>
            <w:color w:val="auto"/>
            <w:sz w:val="24"/>
            <w:lang w:val="es-ES"/>
          </w:rPr>
          <w:t>https://www.argentina.gob.ar/salud/vacunas</w:t>
        </w:r>
      </w:hyperlink>
      <w:r>
        <w:rPr>
          <w:rFonts w:ascii="Arial" w:eastAsia="Arial" w:hAnsi="Arial"/>
          <w:sz w:val="24"/>
          <w:lang w:val="es-ES"/>
        </w:rPr>
        <w:t xml:space="preserve"> </w:t>
      </w:r>
    </w:p>
    <w:p w:rsidR="001E0601" w:rsidRDefault="00567E09">
      <w:pPr>
        <w:numPr>
          <w:ilvl w:val="0"/>
          <w:numId w:val="2"/>
        </w:numPr>
        <w:spacing w:after="160" w:line="259" w:lineRule="exact"/>
        <w:ind w:left="720" w:hanging="360"/>
        <w:rPr>
          <w:rFonts w:ascii="Arial" w:hAnsi="Arial"/>
          <w:sz w:val="24"/>
        </w:rPr>
      </w:pPr>
      <w:r>
        <w:rPr>
          <w:rFonts w:ascii="Arial" w:eastAsia="Arial" w:hAnsi="Arial"/>
          <w:sz w:val="24"/>
          <w:lang w:val="es-ES"/>
        </w:rPr>
        <w:t xml:space="preserve"> Recomendaciones condicionales para el abordaje terapéutico de COVID-19 - Versión 2.0 29 de mayo 2020  </w:t>
      </w:r>
      <w:r>
        <w:rPr>
          <w:rStyle w:val="EnlacedeInternet"/>
          <w:rFonts w:ascii="Arial" w:eastAsia="Arial" w:hAnsi="Arial"/>
          <w:color w:val="auto"/>
          <w:sz w:val="24"/>
          <w:lang w:val="es-ES"/>
        </w:rPr>
        <w:t>https://www.argentina.gob.ar/salud/coronavirus-COVID-19/abordaje-terapeutico</w:t>
      </w:r>
    </w:p>
    <w:p w:rsidR="001E0601" w:rsidRDefault="00567E09">
      <w:pPr>
        <w:numPr>
          <w:ilvl w:val="0"/>
          <w:numId w:val="2"/>
        </w:numPr>
        <w:spacing w:after="160" w:line="259" w:lineRule="exact"/>
        <w:ind w:left="720" w:hanging="360"/>
        <w:rPr>
          <w:rFonts w:ascii="Arial" w:hAnsi="Arial"/>
          <w:sz w:val="24"/>
        </w:rPr>
      </w:pPr>
      <w:proofErr w:type="spellStart"/>
      <w:r>
        <w:rPr>
          <w:rFonts w:ascii="Arial" w:eastAsia="Arial" w:hAnsi="Arial"/>
          <w:sz w:val="24"/>
          <w:lang w:val="es-ES"/>
        </w:rPr>
        <w:t>Jonas</w:t>
      </w:r>
      <w:proofErr w:type="spellEnd"/>
      <w:r>
        <w:rPr>
          <w:rFonts w:ascii="Arial" w:eastAsia="Arial" w:hAnsi="Arial"/>
          <w:sz w:val="24"/>
          <w:lang w:val="es-ES"/>
        </w:rPr>
        <w:t xml:space="preserve"> F. </w:t>
      </w:r>
      <w:proofErr w:type="spellStart"/>
      <w:r>
        <w:rPr>
          <w:rFonts w:ascii="Arial" w:eastAsia="Arial" w:hAnsi="Arial"/>
          <w:sz w:val="24"/>
          <w:lang w:val="es-ES"/>
        </w:rPr>
        <w:t>Ludvigsson</w:t>
      </w:r>
      <w:proofErr w:type="spellEnd"/>
      <w:r>
        <w:rPr>
          <w:rFonts w:ascii="Arial" w:eastAsia="Arial" w:hAnsi="Arial"/>
          <w:sz w:val="24"/>
          <w:lang w:val="es-ES"/>
        </w:rPr>
        <w:t xml:space="preserve"> </w:t>
      </w:r>
      <w:proofErr w:type="spellStart"/>
      <w:r>
        <w:rPr>
          <w:rFonts w:ascii="Arial" w:eastAsia="Arial" w:hAnsi="Arial"/>
          <w:sz w:val="24"/>
          <w:lang w:val="es-ES"/>
        </w:rPr>
        <w:t>Systematic</w:t>
      </w:r>
      <w:proofErr w:type="spellEnd"/>
      <w:r>
        <w:rPr>
          <w:rFonts w:ascii="Arial" w:eastAsia="Arial" w:hAnsi="Arial"/>
          <w:sz w:val="24"/>
          <w:lang w:val="es-ES"/>
        </w:rPr>
        <w:t xml:space="preserve"> </w:t>
      </w:r>
      <w:proofErr w:type="spellStart"/>
      <w:r>
        <w:rPr>
          <w:rFonts w:ascii="Arial" w:eastAsia="Arial" w:hAnsi="Arial"/>
          <w:sz w:val="24"/>
          <w:lang w:val="es-ES"/>
        </w:rPr>
        <w:t>review</w:t>
      </w:r>
      <w:proofErr w:type="spellEnd"/>
      <w:r>
        <w:rPr>
          <w:rFonts w:ascii="Arial" w:eastAsia="Arial" w:hAnsi="Arial"/>
          <w:sz w:val="24"/>
          <w:lang w:val="es-ES"/>
        </w:rPr>
        <w:t xml:space="preserve"> of COVID-19 in </w:t>
      </w:r>
      <w:proofErr w:type="spellStart"/>
      <w:r>
        <w:rPr>
          <w:rFonts w:ascii="Arial" w:eastAsia="Arial" w:hAnsi="Arial"/>
          <w:sz w:val="24"/>
          <w:lang w:val="es-ES"/>
        </w:rPr>
        <w:t>children</w:t>
      </w:r>
      <w:proofErr w:type="spellEnd"/>
      <w:r>
        <w:rPr>
          <w:rFonts w:ascii="Arial" w:eastAsia="Arial" w:hAnsi="Arial"/>
          <w:sz w:val="24"/>
          <w:lang w:val="es-ES"/>
        </w:rPr>
        <w:t xml:space="preserve"> shows </w:t>
      </w:r>
      <w:proofErr w:type="spellStart"/>
      <w:r>
        <w:rPr>
          <w:rFonts w:ascii="Arial" w:eastAsia="Arial" w:hAnsi="Arial"/>
          <w:sz w:val="24"/>
          <w:lang w:val="es-ES"/>
        </w:rPr>
        <w:t>milder</w:t>
      </w:r>
      <w:proofErr w:type="spellEnd"/>
      <w:r>
        <w:rPr>
          <w:rFonts w:ascii="Arial" w:eastAsia="Arial" w:hAnsi="Arial"/>
          <w:sz w:val="24"/>
          <w:lang w:val="es-ES"/>
        </w:rPr>
        <w:t xml:space="preserve"> cases and a </w:t>
      </w:r>
      <w:proofErr w:type="spellStart"/>
      <w:r>
        <w:rPr>
          <w:rFonts w:ascii="Arial" w:eastAsia="Arial" w:hAnsi="Arial"/>
          <w:sz w:val="24"/>
          <w:lang w:val="es-ES"/>
        </w:rPr>
        <w:t>better</w:t>
      </w:r>
      <w:proofErr w:type="spellEnd"/>
      <w:r>
        <w:rPr>
          <w:rFonts w:ascii="Arial" w:eastAsia="Arial" w:hAnsi="Arial"/>
          <w:sz w:val="24"/>
          <w:lang w:val="es-ES"/>
        </w:rPr>
        <w:t xml:space="preserve"> prognosis </w:t>
      </w:r>
      <w:proofErr w:type="spellStart"/>
      <w:r>
        <w:rPr>
          <w:rFonts w:ascii="Arial" w:eastAsia="Arial" w:hAnsi="Arial"/>
          <w:sz w:val="24"/>
          <w:lang w:val="es-ES"/>
        </w:rPr>
        <w:t>than</w:t>
      </w:r>
      <w:proofErr w:type="spellEnd"/>
      <w:r>
        <w:rPr>
          <w:rFonts w:ascii="Arial" w:eastAsia="Arial" w:hAnsi="Arial"/>
          <w:sz w:val="24"/>
          <w:lang w:val="es-ES"/>
        </w:rPr>
        <w:t xml:space="preserve"> </w:t>
      </w:r>
      <w:proofErr w:type="spellStart"/>
      <w:r>
        <w:rPr>
          <w:rFonts w:ascii="Arial" w:eastAsia="Arial" w:hAnsi="Arial"/>
          <w:sz w:val="24"/>
          <w:lang w:val="es-ES"/>
        </w:rPr>
        <w:t>adults</w:t>
      </w:r>
      <w:proofErr w:type="spellEnd"/>
      <w:r>
        <w:rPr>
          <w:rFonts w:ascii="Arial" w:eastAsia="Arial" w:hAnsi="Arial"/>
          <w:sz w:val="24"/>
          <w:lang w:val="es-ES"/>
        </w:rPr>
        <w:t xml:space="preserve">. Acta </w:t>
      </w:r>
      <w:proofErr w:type="spellStart"/>
      <w:r>
        <w:rPr>
          <w:rFonts w:ascii="Arial" w:eastAsia="Arial" w:hAnsi="Arial"/>
          <w:sz w:val="24"/>
          <w:lang w:val="es-ES"/>
        </w:rPr>
        <w:t>Paediatrica</w:t>
      </w:r>
      <w:proofErr w:type="spellEnd"/>
      <w:r>
        <w:rPr>
          <w:rFonts w:ascii="Arial" w:eastAsia="Arial" w:hAnsi="Arial"/>
          <w:sz w:val="24"/>
          <w:lang w:val="es-ES"/>
        </w:rPr>
        <w:t xml:space="preserve">. 2020;00:1–8 </w:t>
      </w:r>
    </w:p>
    <w:p w:rsidR="00CE5DB7" w:rsidRPr="00CE5DB7" w:rsidRDefault="00567E09" w:rsidP="00CE5DB7">
      <w:pPr>
        <w:numPr>
          <w:ilvl w:val="0"/>
          <w:numId w:val="2"/>
        </w:numPr>
        <w:spacing w:after="160" w:line="259" w:lineRule="exact"/>
        <w:ind w:left="720" w:hanging="360"/>
        <w:rPr>
          <w:rFonts w:ascii="Arial" w:hAnsi="Arial"/>
          <w:sz w:val="24"/>
        </w:rPr>
      </w:pPr>
      <w:r>
        <w:rPr>
          <w:rFonts w:ascii="Arial" w:eastAsia="Arial" w:hAnsi="Arial"/>
          <w:sz w:val="24"/>
          <w:lang w:val="es-ES"/>
        </w:rPr>
        <w:t xml:space="preserve">Covid-19. Barbijos y Tapabocas en Niños. 05-20. Comité de Prevención de Lesiones </w:t>
      </w:r>
      <w:hyperlink r:id="rId13" w:history="1">
        <w:r w:rsidR="00CE5DB7" w:rsidRPr="00D4622A">
          <w:rPr>
            <w:rStyle w:val="Hipervnculo"/>
            <w:rFonts w:ascii="Arial" w:eastAsia="Arial" w:hAnsi="Arial"/>
            <w:sz w:val="24"/>
            <w:lang w:val="es-ES"/>
          </w:rPr>
          <w:t>https://www.sap.org.ar/comunidad-novedad.php?codigo=234</w:t>
        </w:r>
      </w:hyperlink>
    </w:p>
    <w:p w:rsidR="001E0601" w:rsidRPr="00CE5DB7" w:rsidRDefault="00567E09" w:rsidP="00CE5DB7">
      <w:pPr>
        <w:numPr>
          <w:ilvl w:val="0"/>
          <w:numId w:val="2"/>
        </w:numPr>
        <w:spacing w:after="160" w:line="259" w:lineRule="exact"/>
        <w:ind w:left="720" w:hanging="360"/>
        <w:rPr>
          <w:rFonts w:ascii="Arial" w:hAnsi="Arial"/>
          <w:sz w:val="24"/>
        </w:rPr>
      </w:pPr>
      <w:r w:rsidRPr="00CE5DB7">
        <w:rPr>
          <w:rFonts w:ascii="Arial" w:eastAsia="Arial" w:hAnsi="Arial"/>
          <w:sz w:val="24"/>
          <w:lang w:val="es-ES"/>
        </w:rPr>
        <w:t>Actualización epidemiológica de COVID-19 en pediatría. 31 de mayo</w:t>
      </w:r>
      <w:r w:rsidR="003E3B0C">
        <w:rPr>
          <w:rFonts w:ascii="Arial" w:eastAsia="Arial" w:hAnsi="Arial"/>
          <w:sz w:val="24"/>
          <w:lang w:val="es-ES"/>
        </w:rPr>
        <w:t>.</w:t>
      </w:r>
      <w:r w:rsidRPr="00CE5DB7">
        <w:rPr>
          <w:rFonts w:ascii="Arial" w:eastAsia="Arial" w:hAnsi="Arial"/>
          <w:sz w:val="24"/>
          <w:lang w:val="es-ES"/>
        </w:rPr>
        <w:t>2020 Ministerio de Salud de Argentina</w:t>
      </w:r>
    </w:p>
    <w:p w:rsidR="001E0601" w:rsidRDefault="001E0601">
      <w:pPr>
        <w:spacing w:after="160" w:line="259" w:lineRule="exact"/>
        <w:rPr>
          <w:rFonts w:ascii="Arial" w:hAnsi="Arial"/>
          <w:sz w:val="24"/>
          <w:lang w:val="es-ES"/>
        </w:rPr>
      </w:pPr>
    </w:p>
    <w:p w:rsidR="001E0601" w:rsidRDefault="001E0601">
      <w:pPr>
        <w:spacing w:after="160" w:line="259" w:lineRule="exact"/>
        <w:rPr>
          <w:rFonts w:ascii="Arial" w:hAnsi="Arial"/>
          <w:sz w:val="24"/>
          <w:lang w:val="es-ES"/>
        </w:rPr>
      </w:pPr>
    </w:p>
    <w:p w:rsidR="001E0601" w:rsidRDefault="001E0601">
      <w:pPr>
        <w:spacing w:after="160" w:line="259" w:lineRule="exact"/>
        <w:rPr>
          <w:rFonts w:ascii="Arial" w:eastAsia="Arial" w:hAnsi="Arial"/>
          <w:sz w:val="24"/>
          <w:lang w:val="es-ES"/>
        </w:rPr>
      </w:pPr>
    </w:p>
    <w:p w:rsidR="001E0601" w:rsidRDefault="00567E09">
      <w:pPr>
        <w:spacing w:after="160" w:line="259" w:lineRule="exact"/>
        <w:ind w:left="360"/>
        <w:rPr>
          <w:rFonts w:ascii="Arial" w:hAnsi="Arial"/>
          <w:sz w:val="24"/>
        </w:rPr>
      </w:pPr>
      <w:r>
        <w:br w:type="page"/>
      </w:r>
      <w:bookmarkStart w:id="0" w:name="_GoBack"/>
      <w:bookmarkEnd w:id="0"/>
    </w:p>
    <w:p w:rsidR="001E0601" w:rsidRDefault="001E0601">
      <w:pPr>
        <w:spacing w:after="160" w:line="259" w:lineRule="exact"/>
        <w:rPr>
          <w:rFonts w:ascii="Arial" w:eastAsia="Arial" w:hAnsi="Arial"/>
          <w:sz w:val="24"/>
          <w:lang w:val="es-ES"/>
        </w:rPr>
      </w:pPr>
    </w:p>
    <w:p w:rsidR="001E0601" w:rsidRDefault="001E0601">
      <w:pPr>
        <w:spacing w:after="160" w:line="259" w:lineRule="exact"/>
        <w:rPr>
          <w:rFonts w:ascii="Arial" w:eastAsia="Arial" w:hAnsi="Arial"/>
          <w:sz w:val="24"/>
          <w:lang w:val="es-ES"/>
        </w:rPr>
      </w:pPr>
    </w:p>
    <w:p w:rsidR="001E0601" w:rsidRDefault="001E0601">
      <w:pPr>
        <w:spacing w:after="160" w:line="259" w:lineRule="exact"/>
        <w:rPr>
          <w:rFonts w:ascii="Arial" w:eastAsia="Arial" w:hAnsi="Arial"/>
          <w:sz w:val="24"/>
          <w:lang w:val="es-ES"/>
        </w:rPr>
      </w:pPr>
    </w:p>
    <w:p w:rsidR="001E0601" w:rsidRDefault="001E0601">
      <w:pPr>
        <w:spacing w:after="160" w:line="259" w:lineRule="exact"/>
      </w:pPr>
    </w:p>
    <w:sectPr w:rsidR="001E0601">
      <w:headerReference w:type="default" r:id="rId14"/>
      <w:pgSz w:w="12240" w:h="15840"/>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90" w:rsidRDefault="00611B90" w:rsidP="006D0551">
      <w:r>
        <w:separator/>
      </w:r>
    </w:p>
  </w:endnote>
  <w:endnote w:type="continuationSeparator" w:id="0">
    <w:p w:rsidR="00611B90" w:rsidRDefault="00611B90" w:rsidP="006D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uardianSansGR-Regular">
    <w:panose1 w:val="00000000000000000000"/>
    <w:charset w:val="00"/>
    <w:family w:val="roman"/>
    <w:notTrueType/>
    <w:pitch w:val="default"/>
  </w:font>
  <w:font w:name="GuardianSans-Medium">
    <w:panose1 w:val="00000000000000000000"/>
    <w:charset w:val="00"/>
    <w:family w:val="roman"/>
    <w:notTrueType/>
    <w:pitch w:val="default"/>
  </w:font>
  <w:font w:name="GuardianSans-Regula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90" w:rsidRDefault="00611B90" w:rsidP="006D0551">
      <w:r>
        <w:separator/>
      </w:r>
    </w:p>
  </w:footnote>
  <w:footnote w:type="continuationSeparator" w:id="0">
    <w:p w:rsidR="00611B90" w:rsidRDefault="00611B90" w:rsidP="006D0551">
      <w:r>
        <w:continuationSeparator/>
      </w:r>
    </w:p>
  </w:footnote>
  <w:footnote w:id="1">
    <w:p w:rsidR="006D0551" w:rsidRPr="006D0551" w:rsidRDefault="006D0551">
      <w:pPr>
        <w:pStyle w:val="Textonotapie"/>
        <w:rPr>
          <w:lang w:val="es-AR"/>
        </w:rPr>
      </w:pPr>
      <w:r>
        <w:rPr>
          <w:rStyle w:val="Refdenotaalpie"/>
        </w:rPr>
        <w:footnoteRef/>
      </w:r>
      <w:r>
        <w:t xml:space="preserve"> </w:t>
      </w:r>
      <w:proofErr w:type="spellStart"/>
      <w:r>
        <w:t>Instituto</w:t>
      </w:r>
      <w:proofErr w:type="spellEnd"/>
      <w:r>
        <w:t xml:space="preserve"> de </w:t>
      </w:r>
      <w:proofErr w:type="spellStart"/>
      <w:r>
        <w:t>Tisioneumonología</w:t>
      </w:r>
      <w:proofErr w:type="spellEnd"/>
      <w:r>
        <w:t xml:space="preserve"> »Prof Dr </w:t>
      </w:r>
      <w:proofErr w:type="spellStart"/>
      <w:r>
        <w:t>Raúl</w:t>
      </w:r>
      <w:proofErr w:type="spellEnd"/>
      <w:r>
        <w:t xml:space="preserve"> </w:t>
      </w:r>
      <w:proofErr w:type="spellStart"/>
      <w:r>
        <w:t>Vacarezza</w:t>
      </w:r>
      <w:proofErr w:type="spellEnd"/>
      <w:r>
        <w:t xml:space="preserve"> », </w:t>
      </w:r>
      <w:proofErr w:type="spellStart"/>
      <w:r>
        <w:t>Facultad</w:t>
      </w:r>
      <w:proofErr w:type="spellEnd"/>
      <w:r>
        <w:t xml:space="preserve"> de </w:t>
      </w:r>
      <w:proofErr w:type="spellStart"/>
      <w:r>
        <w:t>Medicina</w:t>
      </w:r>
      <w:proofErr w:type="spellEnd"/>
      <w:r>
        <w:t>, UBA, CABA.</w:t>
      </w:r>
    </w:p>
  </w:footnote>
  <w:footnote w:id="2">
    <w:p w:rsidR="006D0551" w:rsidRPr="006D0551" w:rsidRDefault="006D0551">
      <w:pPr>
        <w:pStyle w:val="Textonotapie"/>
        <w:rPr>
          <w:lang w:val="es-AR"/>
        </w:rPr>
      </w:pPr>
      <w:r>
        <w:rPr>
          <w:rStyle w:val="Refdenotaalpie"/>
        </w:rPr>
        <w:footnoteRef/>
      </w:r>
      <w:r>
        <w:t xml:space="preserve"> </w:t>
      </w:r>
      <w:r>
        <w:rPr>
          <w:lang w:val="es-AR"/>
        </w:rPr>
        <w:t xml:space="preserve">Hospital Italiano de Buenos </w:t>
      </w:r>
      <w:proofErr w:type="gramStart"/>
      <w:r>
        <w:rPr>
          <w:lang w:val="es-AR"/>
        </w:rPr>
        <w:t>Aires ,</w:t>
      </w:r>
      <w:proofErr w:type="gramEnd"/>
      <w:r>
        <w:rPr>
          <w:lang w:val="es-AR"/>
        </w:rPr>
        <w:t xml:space="preserve"> Instituto Universitario, CABA y San Justo</w:t>
      </w:r>
      <w:r w:rsidR="0069371B">
        <w:rPr>
          <w:lang w:val="es-AR"/>
        </w:rPr>
        <w:t>, Bs AS.</w:t>
      </w:r>
    </w:p>
  </w:footnote>
  <w:footnote w:id="3">
    <w:p w:rsidR="006D0551" w:rsidRPr="006D0551" w:rsidRDefault="0069371B">
      <w:pPr>
        <w:pStyle w:val="Textonotapie"/>
        <w:rPr>
          <w:lang w:val="es-AR"/>
        </w:rPr>
      </w:pPr>
      <w:r>
        <w:rPr>
          <w:rStyle w:val="Refdenotaalpie"/>
        </w:rPr>
        <w:footnoteRef/>
      </w:r>
      <w:r>
        <w:rPr>
          <w:lang w:val="es-AR"/>
        </w:rPr>
        <w:t xml:space="preserve"> Hospital</w:t>
      </w:r>
      <w:r w:rsidR="003E3B0C">
        <w:rPr>
          <w:lang w:val="es-AR"/>
        </w:rPr>
        <w:t xml:space="preserve"> Infantil Municipal.</w:t>
      </w:r>
      <w:r>
        <w:rPr>
          <w:lang w:val="es-AR"/>
        </w:rPr>
        <w:t xml:space="preserve"> Córdoba</w:t>
      </w:r>
    </w:p>
  </w:footnote>
  <w:footnote w:id="4">
    <w:p w:rsidR="0069371B" w:rsidRPr="0069371B" w:rsidRDefault="0069371B">
      <w:pPr>
        <w:pStyle w:val="Textonotapie"/>
        <w:rPr>
          <w:lang w:val="es-AR"/>
        </w:rPr>
      </w:pPr>
      <w:r>
        <w:rPr>
          <w:rStyle w:val="Refdenotaalpie"/>
        </w:rPr>
        <w:footnoteRef/>
      </w:r>
      <w:r>
        <w:t xml:space="preserve"> </w:t>
      </w:r>
      <w:r>
        <w:rPr>
          <w:lang w:val="es-AR"/>
        </w:rPr>
        <w:t xml:space="preserve">Hospital </w:t>
      </w:r>
      <w:proofErr w:type="spellStart"/>
      <w:r>
        <w:rPr>
          <w:lang w:val="es-AR"/>
        </w:rPr>
        <w:t>Gral</w:t>
      </w:r>
      <w:proofErr w:type="spellEnd"/>
      <w:r>
        <w:rPr>
          <w:lang w:val="es-AR"/>
        </w:rPr>
        <w:t xml:space="preserve"> de niños </w:t>
      </w:r>
      <w:proofErr w:type="gramStart"/>
      <w:r>
        <w:rPr>
          <w:lang w:val="es-AR"/>
        </w:rPr>
        <w:t>“ Pedro</w:t>
      </w:r>
      <w:proofErr w:type="gramEnd"/>
      <w:r>
        <w:rPr>
          <w:lang w:val="es-AR"/>
        </w:rPr>
        <w:t xml:space="preserve"> de Elizalde” </w:t>
      </w:r>
      <w:proofErr w:type="spellStart"/>
      <w:r>
        <w:rPr>
          <w:lang w:val="es-AR"/>
        </w:rPr>
        <w:t>y.Hospital</w:t>
      </w:r>
      <w:proofErr w:type="spellEnd"/>
      <w:r>
        <w:rPr>
          <w:lang w:val="es-AR"/>
        </w:rPr>
        <w:t xml:space="preserve"> Británico. CABA</w:t>
      </w:r>
    </w:p>
  </w:footnote>
  <w:footnote w:id="5">
    <w:p w:rsidR="0069371B" w:rsidRPr="0069371B" w:rsidRDefault="0069371B">
      <w:pPr>
        <w:pStyle w:val="Textonotapie"/>
        <w:rPr>
          <w:lang w:val="es-AR"/>
        </w:rPr>
      </w:pPr>
      <w:r>
        <w:rPr>
          <w:rStyle w:val="Refdenotaalpie"/>
        </w:rPr>
        <w:footnoteRef/>
      </w:r>
      <w:r>
        <w:t xml:space="preserve"> </w:t>
      </w:r>
      <w:r>
        <w:rPr>
          <w:lang w:val="es-AR"/>
        </w:rPr>
        <w:t xml:space="preserve">Hospital SAMIC “ </w:t>
      </w:r>
      <w:proofErr w:type="spellStart"/>
      <w:r>
        <w:rPr>
          <w:lang w:val="es-AR"/>
        </w:rPr>
        <w:t>Prof</w:t>
      </w:r>
      <w:proofErr w:type="spellEnd"/>
      <w:r>
        <w:rPr>
          <w:lang w:val="es-AR"/>
        </w:rPr>
        <w:t xml:space="preserve"> </w:t>
      </w:r>
      <w:proofErr w:type="spellStart"/>
      <w:r>
        <w:rPr>
          <w:lang w:val="es-AR"/>
        </w:rPr>
        <w:t>Dr</w:t>
      </w:r>
      <w:proofErr w:type="spellEnd"/>
      <w:r>
        <w:rPr>
          <w:lang w:val="es-AR"/>
        </w:rPr>
        <w:t xml:space="preserve"> Juan P. </w:t>
      </w:r>
      <w:proofErr w:type="spellStart"/>
      <w:r>
        <w:rPr>
          <w:lang w:val="es-AR"/>
        </w:rPr>
        <w:t>Garrahan”CABA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A0" w:rsidRDefault="00420C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49DC"/>
    <w:multiLevelType w:val="multilevel"/>
    <w:tmpl w:val="6DB64E98"/>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C42D17"/>
    <w:multiLevelType w:val="multilevel"/>
    <w:tmpl w:val="F8044392"/>
    <w:lvl w:ilvl="0">
      <w:start w:val="1"/>
      <w:numFmt w:val="decimal"/>
      <w:lvlText w:val="%1."/>
      <w:lvlJc w:val="left"/>
      <w:pPr>
        <w:ind w:left="0" w:firstLine="0"/>
      </w:pPr>
      <w:rPr>
        <w:rFonts w:ascii="Arial" w:hAnsi="Aria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E0601"/>
    <w:rsid w:val="000D598A"/>
    <w:rsid w:val="001E0601"/>
    <w:rsid w:val="002F22AE"/>
    <w:rsid w:val="003E3B0C"/>
    <w:rsid w:val="00420CA0"/>
    <w:rsid w:val="00567B6F"/>
    <w:rsid w:val="00567E09"/>
    <w:rsid w:val="005B48CE"/>
    <w:rsid w:val="00611B90"/>
    <w:rsid w:val="0065275F"/>
    <w:rsid w:val="0069371B"/>
    <w:rsid w:val="006D0551"/>
    <w:rsid w:val="008C0DFA"/>
    <w:rsid w:val="008E7F4F"/>
    <w:rsid w:val="00A07D5E"/>
    <w:rsid w:val="00A440FD"/>
    <w:rsid w:val="00A97ABB"/>
    <w:rsid w:val="00C944FE"/>
    <w:rsid w:val="00CE5DB7"/>
    <w:rsid w:val="00D53E0E"/>
    <w:rsid w:val="00D817C2"/>
    <w:rsid w:val="00FC09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3DB4E9-3BA6-4380-8CD1-EF0F34D8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2"/>
    </w:rPr>
  </w:style>
  <w:style w:type="paragraph" w:styleId="Ttulo1">
    <w:name w:val="heading 1"/>
    <w:basedOn w:val="Ttulo"/>
    <w:next w:val="Textoindependiente"/>
    <w:qFormat/>
    <w:pPr>
      <w:numPr>
        <w:numId w:val="1"/>
      </w:numPr>
      <w:outlineLvl w:val="0"/>
    </w:pPr>
    <w:rPr>
      <w:rFonts w:ascii="Liberation Serif" w:eastAsia="NSimSun" w:hAnsi="Liberation Serif"/>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Smbolosdenumeracin">
    <w:name w:val="Símbolos de numeración"/>
    <w:qFormat/>
    <w:rPr>
      <w:rFonts w:ascii="Arial" w:hAnsi="Arial"/>
      <w:sz w:val="24"/>
      <w:szCs w:val="24"/>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styleId="Textonotapie">
    <w:name w:val="footnote text"/>
    <w:basedOn w:val="Normal"/>
    <w:pPr>
      <w:suppressLineNumbers/>
      <w:ind w:left="339" w:hanging="339"/>
    </w:pPr>
    <w:rPr>
      <w:sz w:val="20"/>
      <w:szCs w:val="20"/>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Prrafodelista">
    <w:name w:val="List Paragraph"/>
    <w:basedOn w:val="Normal"/>
    <w:uiPriority w:val="34"/>
    <w:qFormat/>
    <w:rsid w:val="00567E09"/>
    <w:pPr>
      <w:ind w:left="720"/>
      <w:contextualSpacing/>
    </w:pPr>
    <w:rPr>
      <w:rFonts w:cs="Mangal"/>
    </w:rPr>
  </w:style>
  <w:style w:type="character" w:styleId="Hipervnculo">
    <w:name w:val="Hyperlink"/>
    <w:basedOn w:val="Fuentedeprrafopredeter"/>
    <w:uiPriority w:val="99"/>
    <w:unhideWhenUsed/>
    <w:rsid w:val="00CE5DB7"/>
    <w:rPr>
      <w:color w:val="0563C1" w:themeColor="hyperlink"/>
      <w:u w:val="single"/>
    </w:rPr>
  </w:style>
  <w:style w:type="character" w:styleId="Refdenotaalpie">
    <w:name w:val="footnote reference"/>
    <w:basedOn w:val="Fuentedeprrafopredeter"/>
    <w:uiPriority w:val="99"/>
    <w:semiHidden/>
    <w:unhideWhenUsed/>
    <w:rsid w:val="006D0551"/>
    <w:rPr>
      <w:vertAlign w:val="superscript"/>
    </w:rPr>
  </w:style>
  <w:style w:type="paragraph" w:styleId="Encabezado">
    <w:name w:val="header"/>
    <w:basedOn w:val="Normal"/>
    <w:link w:val="EncabezadoCar"/>
    <w:uiPriority w:val="99"/>
    <w:unhideWhenUsed/>
    <w:rsid w:val="00420CA0"/>
    <w:pPr>
      <w:tabs>
        <w:tab w:val="center" w:pos="4252"/>
        <w:tab w:val="right" w:pos="8504"/>
      </w:tabs>
    </w:pPr>
    <w:rPr>
      <w:rFonts w:cs="Mangal"/>
    </w:rPr>
  </w:style>
  <w:style w:type="character" w:customStyle="1" w:styleId="EncabezadoCar">
    <w:name w:val="Encabezado Car"/>
    <w:basedOn w:val="Fuentedeprrafopredeter"/>
    <w:link w:val="Encabezado"/>
    <w:uiPriority w:val="99"/>
    <w:rsid w:val="00420CA0"/>
    <w:rPr>
      <w:rFonts w:cs="Mangal"/>
      <w:sz w:val="22"/>
    </w:rPr>
  </w:style>
  <w:style w:type="paragraph" w:styleId="Piedepgina">
    <w:name w:val="footer"/>
    <w:basedOn w:val="Normal"/>
    <w:link w:val="PiedepginaCar"/>
    <w:uiPriority w:val="99"/>
    <w:unhideWhenUsed/>
    <w:rsid w:val="00420CA0"/>
    <w:pPr>
      <w:tabs>
        <w:tab w:val="center" w:pos="4252"/>
        <w:tab w:val="right" w:pos="8504"/>
      </w:tabs>
    </w:pPr>
    <w:rPr>
      <w:rFonts w:cs="Mangal"/>
    </w:rPr>
  </w:style>
  <w:style w:type="character" w:customStyle="1" w:styleId="PiedepginaCar">
    <w:name w:val="Pie de página Car"/>
    <w:basedOn w:val="Fuentedeprrafopredeter"/>
    <w:link w:val="Piedepgina"/>
    <w:uiPriority w:val="99"/>
    <w:rsid w:val="00420CA0"/>
    <w:rPr>
      <w:rFonts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62849">
      <w:bodyDiv w:val="1"/>
      <w:marLeft w:val="0"/>
      <w:marRight w:val="0"/>
      <w:marTop w:val="0"/>
      <w:marBottom w:val="0"/>
      <w:divBdr>
        <w:top w:val="none" w:sz="0" w:space="0" w:color="auto"/>
        <w:left w:val="none" w:sz="0" w:space="0" w:color="auto"/>
        <w:bottom w:val="none" w:sz="0" w:space="0" w:color="auto"/>
        <w:right w:val="none" w:sz="0" w:space="0" w:color="auto"/>
      </w:divBdr>
    </w:div>
    <w:div w:id="97225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1440/DFTB.24063" TargetMode="External"/><Relationship Id="rId13" Type="http://schemas.openxmlformats.org/officeDocument/2006/relationships/hyperlink" Target="https://www.sap.org.ar/comunidad-novedad.php?codigo=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entina.gob.ar/salud/vacun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p.org.ar/publicaciones/contenidos-extras/23/reuniones-y-documentos-con-actualizacion-permanente-sobre-coronavirus-covid-1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amr.org.ar/secciones/coronavirus/covid-19-y-tabaco-0604-logos-final.pdf" TargetMode="External"/><Relationship Id="rId4" Type="http://schemas.openxmlformats.org/officeDocument/2006/relationships/settings" Target="settings.xml"/><Relationship Id="rId9" Type="http://schemas.openxmlformats.org/officeDocument/2006/relationships/hyperlink" Target="https://doi.org/10.1111/apa.15270"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6320-A6AE-4BCF-96E1-9F9F129C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3604</Words>
  <Characters>19823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Martinchuk</dc:creator>
  <dc:description/>
  <cp:lastModifiedBy>Gisela Martinchuk</cp:lastModifiedBy>
  <cp:revision>4</cp:revision>
  <dcterms:created xsi:type="dcterms:W3CDTF">2020-06-17T02:28:00Z</dcterms:created>
  <dcterms:modified xsi:type="dcterms:W3CDTF">2020-06-17T14:51:00Z</dcterms:modified>
  <cp:contentStatus>Final</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y fmtid="{D5CDD505-2E9C-101B-9397-08002B2CF9AE}" pid="4" name="_MarkAsFinal">
    <vt:bool>true</vt:bool>
  </property>
</Properties>
</file>